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9184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407D46C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559CBB1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hint="eastAsia" w:ascii="黑体" w:hAnsi="黑体" w:eastAsia="黑体"/>
                <w:sz w:val="21"/>
                <w:szCs w:val="21"/>
                <w:lang w:val="en-US" w:eastAsia="zh-CN"/>
              </w:rPr>
              <w:t>20</w:t>
            </w:r>
            <w:r>
              <w:rPr>
                <w:rFonts w:ascii="黑体" w:hAnsi="黑体" w:eastAsia="黑体"/>
                <w:sz w:val="21"/>
                <w:szCs w:val="21"/>
              </w:rPr>
              <w:fldChar w:fldCharType="end"/>
            </w:r>
            <w:bookmarkEnd w:id="0"/>
          </w:p>
        </w:tc>
      </w:tr>
      <w:tr w14:paraId="2E33F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24C4383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5111D76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w:t>
            </w:r>
            <w:r>
              <w:rPr>
                <w:rFonts w:hint="eastAsia" w:ascii="黑体" w:hAnsi="黑体" w:eastAsia="黑体"/>
                <w:sz w:val="21"/>
                <w:szCs w:val="21"/>
                <w:lang w:val="en-US" w:eastAsia="zh-CN"/>
              </w:rPr>
              <w:t>05</w:t>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681ECB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noWrap w:val="0"/>
            <w:vAlign w:val="top"/>
          </w:tcPr>
          <w:p w14:paraId="0ED2FB04">
            <w:pPr>
              <w:pStyle w:val="51"/>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796290" cy="397510"/>
                          </a:xfrm>
                          <a:prstGeom prst="rect">
                            <a:avLst/>
                          </a:prstGeom>
                          <a:noFill/>
                          <a:ln>
                            <a:noFill/>
                          </a:ln>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2EA2B7E5">
      <w:pPr>
        <w:pStyle w:val="52"/>
        <w:framePr w:w="9639" w:h="624" w:hRule="exact" w:hSpace="181" w:vSpace="181" w:wrap="around"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D83FDE0">
      <w:pPr>
        <w:pStyle w:val="195"/>
        <w:rPr>
          <w:rFonts w:hint="eastAsia" w:eastAsia="黑体"/>
          <w:lang w:val="fr-FR"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rPr>
          <w:rFonts w:hint="eastAsia"/>
          <w:lang w:val="en-US" w:eastAsia="zh-CN"/>
        </w:rPr>
        <w:t>1591</w:t>
      </w:r>
      <w:r>
        <w:rPr>
          <w:rFonts w:hAnsi="黑体"/>
          <w:lang w:val="fr-FR"/>
        </w:rPr>
        <w:t>—</w:t>
      </w:r>
      <w:r>
        <w:rPr>
          <w:rFonts w:hint="eastAsia"/>
          <w:lang w:val="en-US" w:eastAsia="zh-CN"/>
        </w:rPr>
        <w:t>XXXX</w:t>
      </w:r>
    </w:p>
    <w:p w14:paraId="76265DF1">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int="eastAsia" w:hAnsi="黑体"/>
        </w:rPr>
        <w:t>代替DB14/T 159</w:t>
      </w:r>
      <w:r>
        <w:rPr>
          <w:rFonts w:hint="eastAsia" w:hAnsi="黑体"/>
          <w:lang w:val="en-US" w:eastAsia="zh-CN"/>
        </w:rPr>
        <w:t>1</w:t>
      </w:r>
      <w:r>
        <w:rPr>
          <w:rFonts w:hint="eastAsia" w:hAnsi="黑体"/>
        </w:rPr>
        <w:t>-2018</w:t>
      </w:r>
      <w:r>
        <w:rPr>
          <w:rFonts w:hAnsi="黑体"/>
        </w:rPr>
        <w:fldChar w:fldCharType="end"/>
      </w:r>
      <w:bookmarkEnd w:id="6"/>
    </w:p>
    <w:p w14:paraId="2FE4FF0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5BFD439">
      <w:pPr>
        <w:pStyle w:val="52"/>
        <w:framePr w:w="9639" w:h="6976" w:hRule="exact" w:hSpace="0" w:vSpace="0" w:wrap="around" w:vAnchor="text" w:hAnchor="page" w:y="6408"/>
        <w:jc w:val="center"/>
        <w:rPr>
          <w:rFonts w:ascii="黑体" w:hAnsi="黑体" w:eastAsia="黑体"/>
          <w:b w:val="0"/>
          <w:bCs w:val="0"/>
          <w:w w:val="100"/>
        </w:rPr>
      </w:pPr>
    </w:p>
    <w:p w14:paraId="11A71458">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草莓脱毒原原种苗制备技术规程</w:t>
      </w:r>
      <w:r>
        <w:fldChar w:fldCharType="end"/>
      </w:r>
      <w:bookmarkEnd w:id="7"/>
    </w:p>
    <w:p w14:paraId="09E7B2B3">
      <w:pPr>
        <w:framePr w:w="9639" w:h="6974" w:hRule="exact" w:wrap="around" w:vAnchor="page" w:hAnchor="page" w:x="1419" w:y="6408" w:anchorLock="1"/>
        <w:ind w:left="-1418"/>
      </w:pPr>
    </w:p>
    <w:p w14:paraId="47F2B10E">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8"/>
    </w:p>
    <w:p w14:paraId="36B480E6">
      <w:pPr>
        <w:framePr w:w="9639" w:h="6974" w:hRule="exact" w:wrap="around" w:vAnchor="page" w:hAnchor="page" w:x="1419" w:y="6408" w:anchorLock="1"/>
        <w:spacing w:line="760" w:lineRule="exact"/>
        <w:ind w:left="-1418"/>
      </w:pPr>
    </w:p>
    <w:p w14:paraId="6B0E496C">
      <w:pPr>
        <w:pStyle w:val="126"/>
        <w:framePr w:w="9639" w:h="6974" w:hRule="exact" w:wrap="around" w:vAnchor="page" w:hAnchor="page" w:x="1419" w:y="6408" w:anchorLock="1"/>
        <w:textAlignment w:val="bottom"/>
        <w:rPr>
          <w:rFonts w:eastAsia="黑体"/>
          <w:szCs w:val="28"/>
        </w:rPr>
      </w:pPr>
    </w:p>
    <w:p w14:paraId="6D6D466C">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6DA8BD3">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A9DC6DA">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4074133C">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w:t>
      </w:r>
      <w:r>
        <w:rPr>
          <w:rFonts w:hint="eastAsia" w:ascii="黑体"/>
          <w:lang w:val="en-US" w:eastAsia="zh-CN"/>
        </w:rPr>
        <w:t>24</w:t>
      </w:r>
      <w:r>
        <w:rPr>
          <w:rFonts w:ascii="黑体"/>
        </w:rPr>
        <w:fldChar w:fldCharType="end"/>
      </w:r>
      <w:bookmarkEnd w:id="12"/>
      <w:r>
        <w:t xml:space="preserve"> </w:t>
      </w:r>
      <w:r>
        <w:rPr>
          <w:rFonts w:ascii="黑体"/>
        </w:rPr>
        <w:t>-</w:t>
      </w:r>
      <w:r>
        <w:t xml:space="preserve"> </w:t>
      </w:r>
      <w:r>
        <w:rPr>
          <w:rFonts w:hint="eastAsia" w:ascii="黑体" w:hAnsi="黑体" w:eastAsia="黑体" w:cs="黑体"/>
          <w:lang w:val="en-US" w:eastAsia="zh-CN"/>
        </w:rPr>
        <w:t>XX</w:t>
      </w:r>
      <w:r>
        <w:t xml:space="preserve"> </w:t>
      </w:r>
      <w:r>
        <w:rPr>
          <w:rFonts w:ascii="黑体"/>
        </w:rPr>
        <w:t>-</w:t>
      </w:r>
      <w:r>
        <w:t xml:space="preserve"> </w:t>
      </w:r>
      <w:r>
        <w:rPr>
          <w:rFonts w:hint="eastAsia" w:ascii="黑体" w:hAnsi="黑体" w:eastAsia="黑体" w:cs="黑体"/>
          <w:lang w:val="en-US" w:eastAsia="zh-CN"/>
        </w:rPr>
        <w:t>XX</w:t>
      </w:r>
      <w:r>
        <w:rPr>
          <w:rFonts w:hint="eastAsia"/>
        </w:rPr>
        <w:t>发布</w:t>
      </w:r>
    </w:p>
    <w:p w14:paraId="1B1B326D">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w:t>
      </w:r>
      <w:r>
        <w:rPr>
          <w:rFonts w:hint="eastAsia" w:ascii="黑体"/>
          <w:lang w:val="en-US" w:eastAsia="zh-CN"/>
        </w:rPr>
        <w:t>24</w:t>
      </w:r>
      <w:r>
        <w:rPr>
          <w:rFonts w:ascii="黑体"/>
        </w:rPr>
        <w:fldChar w:fldCharType="end"/>
      </w:r>
      <w:bookmarkEnd w:id="13"/>
      <w:r>
        <w:t xml:space="preserve"> </w:t>
      </w:r>
      <w:r>
        <w:rPr>
          <w:rFonts w:ascii="黑体"/>
        </w:rPr>
        <w:t>-</w:t>
      </w:r>
      <w:r>
        <w:t xml:space="preserve"> </w:t>
      </w:r>
      <w:r>
        <w:rPr>
          <w:rFonts w:hint="eastAsia" w:ascii="黑体" w:hAnsi="黑体" w:eastAsia="黑体" w:cs="黑体"/>
          <w:lang w:val="en-US" w:eastAsia="zh-CN"/>
        </w:rPr>
        <w:t>XX</w:t>
      </w:r>
      <w:r>
        <w:t xml:space="preserve"> </w:t>
      </w:r>
      <w:r>
        <w:rPr>
          <w:rFonts w:ascii="黑体"/>
        </w:rPr>
        <w:t>-</w:t>
      </w:r>
      <w:r>
        <w:t xml:space="preserve"> </w:t>
      </w:r>
      <w:r>
        <w:rPr>
          <w:rFonts w:hint="eastAsia" w:ascii="黑体" w:hAnsi="黑体" w:eastAsia="黑体" w:cs="黑体"/>
          <w:lang w:val="en-US" w:eastAsia="zh-CN"/>
        </w:rPr>
        <w:t>XX</w:t>
      </w:r>
      <w:r>
        <w:rPr>
          <w:rFonts w:hint="eastAsia"/>
        </w:rPr>
        <w:t>实施</w:t>
      </w:r>
    </w:p>
    <w:p w14:paraId="31AEA6F9">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E43ABC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pgBorders>
            <w:top w:val="none" w:sz="0" w:space="0"/>
            <w:left w:val="none" w:sz="0" w:space="0"/>
            <w:bottom w:val="none" w:sz="0" w:space="0"/>
            <w:right w:val="none" w:sz="0" w:space="0"/>
          </w:pgBorders>
          <w:cols w:space="720" w:num="1"/>
          <w:titlePg/>
          <w:docGrid w:linePitch="312" w:charSpace="0"/>
        </w:sectPr>
      </w:pPr>
      <w:bookmarkStart w:id="101" w:name="_GoBack"/>
      <w:bookmarkEnd w:id="101"/>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2058795">
      <w:pPr>
        <w:pStyle w:val="93"/>
        <w:spacing w:after="468"/>
      </w:pPr>
      <w:bookmarkStart w:id="15" w:name="BookMark1"/>
      <w:r>
        <w:rPr>
          <w:rFonts w:hint="eastAsia"/>
          <w:spacing w:val="320"/>
        </w:rPr>
        <w:t>目</w:t>
      </w:r>
      <w:r>
        <w:rPr>
          <w:rFonts w:hint="eastAsia"/>
        </w:rPr>
        <w:t>次</w:t>
      </w:r>
    </w:p>
    <w:p w14:paraId="7FC952A1">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"1-1"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_Toc5967 </w:instrText>
      </w:r>
      <w:r>
        <w:rPr>
          <w:rFonts w:hint="eastAsia" w:ascii="宋体" w:hAnsi="宋体" w:eastAsia="宋体" w:cs="宋体"/>
          <w:sz w:val="21"/>
          <w:szCs w:val="21"/>
        </w:rPr>
        <w:fldChar w:fldCharType="separate"/>
      </w:r>
      <w:r>
        <w:rPr>
          <w:rFonts w:hint="eastAsia" w:hAnsi="宋体" w:cs="宋体"/>
          <w:sz w:val="21"/>
          <w:szCs w:val="21"/>
          <w:lang w:val="en-US" w:eastAsia="zh-CN"/>
        </w:rPr>
        <w:t>前</w:t>
      </w:r>
      <w:r>
        <w:rPr>
          <w:rFonts w:hint="eastAsia" w:ascii="宋体" w:hAnsi="宋体" w:eastAsia="宋体" w:cs="宋体"/>
          <w:sz w:val="21"/>
          <w:szCs w:val="21"/>
        </w:rPr>
        <w:t>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_Toc5967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E922E6D">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_Toc31258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_Toc31258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D47EC4F">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_Toc20210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_Toc20210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1A4B712">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_Toc2484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_Toc2484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D98B21E">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_Toc23233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4 </w:t>
      </w:r>
      <w:r>
        <w:rPr>
          <w:rFonts w:hint="eastAsia" w:ascii="宋体" w:hAnsi="宋体" w:eastAsia="宋体" w:cs="宋体"/>
          <w:sz w:val="21"/>
          <w:szCs w:val="21"/>
          <w:lang w:val="en-US" w:eastAsia="zh-CN"/>
        </w:rPr>
        <w:t>外植体选择</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_Toc23233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8E2AD34">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_Toc7184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5 </w:t>
      </w:r>
      <w:r>
        <w:rPr>
          <w:rFonts w:hint="eastAsia" w:ascii="宋体" w:hAnsi="宋体" w:eastAsia="宋体" w:cs="宋体"/>
          <w:sz w:val="21"/>
          <w:szCs w:val="21"/>
          <w:lang w:val="en-US" w:eastAsia="zh-CN"/>
        </w:rPr>
        <w:t>脱毒与检测</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_Toc7184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76B25AB">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_Toc20849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6 </w:t>
      </w:r>
      <w:r>
        <w:rPr>
          <w:rFonts w:hint="eastAsia" w:ascii="宋体" w:hAnsi="宋体" w:eastAsia="宋体" w:cs="宋体"/>
          <w:sz w:val="21"/>
          <w:szCs w:val="21"/>
          <w:lang w:val="en-US" w:eastAsia="zh-CN"/>
        </w:rPr>
        <w:t>茎尖初代培养</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_Toc20849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D11ACB6">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_Toc16724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7 </w:t>
      </w:r>
      <w:r>
        <w:rPr>
          <w:rFonts w:hint="eastAsia" w:ascii="宋体" w:hAnsi="宋体" w:eastAsia="宋体" w:cs="宋体"/>
          <w:sz w:val="21"/>
          <w:szCs w:val="21"/>
          <w:lang w:val="en-US" w:eastAsia="zh-CN"/>
        </w:rPr>
        <w:t>组培苗继代扩繁</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_Toc16724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662CC9">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_Toc3531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8 </w:t>
      </w:r>
      <w:r>
        <w:rPr>
          <w:rFonts w:hint="eastAsia" w:ascii="宋体" w:hAnsi="宋体" w:eastAsia="宋体" w:cs="宋体"/>
          <w:sz w:val="21"/>
          <w:szCs w:val="21"/>
          <w:lang w:val="en-US" w:eastAsia="zh-CN"/>
        </w:rPr>
        <w:t>组培苗生根诱导</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_Toc3531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D43C4F0">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_Toc12149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9 </w:t>
      </w:r>
      <w:r>
        <w:rPr>
          <w:rFonts w:hint="eastAsia" w:ascii="宋体" w:hAnsi="宋体" w:eastAsia="宋体" w:cs="宋体"/>
          <w:sz w:val="21"/>
          <w:szCs w:val="21"/>
          <w:lang w:val="en-US" w:eastAsia="zh-CN"/>
        </w:rPr>
        <w:t>组培苗驯化移栽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_Toc12149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BD9F97C">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_Toc25336 </w:instrText>
      </w:r>
      <w:r>
        <w:rPr>
          <w:rFonts w:hint="eastAsia" w:ascii="宋体" w:hAnsi="宋体" w:eastAsia="宋体" w:cs="宋体"/>
          <w:sz w:val="21"/>
          <w:szCs w:val="21"/>
        </w:rPr>
        <w:fldChar w:fldCharType="separate"/>
      </w:r>
      <w:r>
        <w:rPr>
          <w:rFonts w:hint="eastAsia" w:hAnsi="宋体" w:cs="宋体"/>
          <w:sz w:val="21"/>
          <w:szCs w:val="21"/>
          <w:lang w:val="en-US" w:eastAsia="zh-CN"/>
        </w:rPr>
        <w:t>附录 A（资料性）</w:t>
      </w:r>
      <w:r>
        <w:rPr>
          <w:rFonts w:hint="eastAsia" w:ascii="宋体" w:hAnsi="宋体" w:eastAsia="宋体" w:cs="宋体"/>
          <w:sz w:val="21"/>
          <w:szCs w:val="21"/>
        </w:rPr>
        <w:t xml:space="preserve"> 草莓脱毒原原种苗组培生产记录表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_Toc25336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75B7469">
      <w:pPr>
        <w:pStyle w:val="19"/>
        <w:tabs>
          <w:tab w:val="right" w:leader="dot" w:pos="935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_Toc13787 </w:instrText>
      </w:r>
      <w:r>
        <w:rPr>
          <w:rFonts w:hint="eastAsia" w:ascii="宋体" w:hAnsi="宋体" w:eastAsia="宋体" w:cs="宋体"/>
          <w:sz w:val="21"/>
          <w:szCs w:val="21"/>
        </w:rPr>
        <w:fldChar w:fldCharType="separate"/>
      </w:r>
      <w:r>
        <w:rPr>
          <w:rFonts w:hint="eastAsia" w:hAnsi="宋体" w:cs="宋体"/>
          <w:sz w:val="21"/>
          <w:szCs w:val="21"/>
          <w:lang w:val="en-US" w:eastAsia="zh-CN"/>
        </w:rPr>
        <w:t>附录 B（资料性）</w:t>
      </w:r>
      <w:r>
        <w:rPr>
          <w:rFonts w:hint="eastAsia" w:ascii="宋体" w:hAnsi="宋体" w:eastAsia="宋体" w:cs="宋体"/>
          <w:sz w:val="21"/>
          <w:szCs w:val="21"/>
        </w:rPr>
        <w:t xml:space="preserve"> 草莓脱毒原原种苗出圃登记表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_Toc13787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3830803">
      <w:pPr>
        <w:pStyle w:val="93"/>
        <w:spacing w:after="468"/>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720" w:num="1"/>
          <w:formProt w:val="0"/>
          <w:docGrid w:type="lines" w:linePitch="312" w:charSpace="0"/>
        </w:sectPr>
      </w:pPr>
      <w:r>
        <w:rPr>
          <w:rFonts w:hint="eastAsia" w:ascii="宋体" w:hAnsi="宋体" w:eastAsia="宋体" w:cs="宋体"/>
          <w:sz w:val="21"/>
          <w:szCs w:val="21"/>
        </w:rPr>
        <w:fldChar w:fldCharType="end"/>
      </w:r>
    </w:p>
    <w:bookmarkEnd w:id="15"/>
    <w:p w14:paraId="1F522FAB">
      <w:pPr>
        <w:pStyle w:val="91"/>
        <w:spacing w:before="900" w:after="468"/>
      </w:pPr>
      <w:bookmarkStart w:id="16" w:name="_Toc20614"/>
      <w:bookmarkStart w:id="17" w:name="_Toc5967"/>
      <w:bookmarkStart w:id="18" w:name="BookMark2"/>
      <w:r>
        <w:rPr>
          <w:spacing w:val="320"/>
        </w:rPr>
        <w:t>前</w:t>
      </w:r>
      <w:r>
        <w:t>言</w:t>
      </w:r>
      <w:bookmarkEnd w:id="16"/>
      <w:bookmarkEnd w:id="17"/>
    </w:p>
    <w:p w14:paraId="048A672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宋体" w:hAnsi="宋体" w:eastAsia="宋体" w:cs="宋体"/>
        </w:rPr>
        <w:t>本文件按照GB/T 1.1-2020 《标准化工作导则 第1部分：标准化文件的结构和起草规则》的规定起草。</w:t>
      </w:r>
    </w:p>
    <w:p w14:paraId="292DE30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本文件代替DB</w:t>
      </w:r>
      <w:r>
        <w:rPr>
          <w:rFonts w:hint="eastAsia" w:ascii="宋体" w:hAnsi="宋体" w:eastAsia="宋体" w:cs="宋体"/>
          <w:lang w:val="en-US" w:eastAsia="zh-CN"/>
        </w:rPr>
        <w:t>14</w:t>
      </w:r>
      <w:r>
        <w:rPr>
          <w:rFonts w:hint="eastAsia" w:ascii="宋体" w:hAnsi="宋体" w:eastAsia="宋体" w:cs="宋体"/>
        </w:rPr>
        <w:t xml:space="preserve">/T </w:t>
      </w:r>
      <w:r>
        <w:rPr>
          <w:rFonts w:hint="eastAsia" w:ascii="宋体" w:hAnsi="宋体" w:eastAsia="宋体" w:cs="宋体"/>
          <w:lang w:val="en-US" w:eastAsia="zh-CN"/>
        </w:rPr>
        <w:t>1591</w:t>
      </w:r>
      <w:r>
        <w:rPr>
          <w:rFonts w:hint="eastAsia" w:ascii="宋体" w:hAnsi="宋体" w:eastAsia="宋体" w:cs="宋体"/>
        </w:rPr>
        <w:t>—</w:t>
      </w:r>
      <w:r>
        <w:rPr>
          <w:rFonts w:hint="eastAsia" w:ascii="宋体" w:hAnsi="宋体" w:eastAsia="宋体" w:cs="宋体"/>
          <w:lang w:val="en-US" w:eastAsia="zh-CN"/>
        </w:rPr>
        <w:t>2018</w:t>
      </w:r>
      <w:r>
        <w:rPr>
          <w:rFonts w:hint="eastAsia" w:ascii="宋体" w:hAnsi="宋体" w:eastAsia="宋体" w:cs="宋体"/>
        </w:rPr>
        <w:t>《草莓脱毒原原种苗制备技术规程》，与DB</w:t>
      </w:r>
      <w:r>
        <w:rPr>
          <w:rFonts w:hint="eastAsia" w:ascii="宋体" w:hAnsi="宋体" w:eastAsia="宋体" w:cs="宋体"/>
          <w:lang w:val="en-US" w:eastAsia="zh-CN"/>
        </w:rPr>
        <w:t>14</w:t>
      </w:r>
      <w:r>
        <w:rPr>
          <w:rFonts w:hint="eastAsia" w:ascii="宋体" w:hAnsi="宋体" w:eastAsia="宋体" w:cs="宋体"/>
        </w:rPr>
        <w:t xml:space="preserve">/T </w:t>
      </w:r>
      <w:r>
        <w:rPr>
          <w:rFonts w:hint="eastAsia" w:ascii="宋体" w:hAnsi="宋体" w:eastAsia="宋体" w:cs="宋体"/>
          <w:lang w:val="en-US" w:eastAsia="zh-CN"/>
        </w:rPr>
        <w:t>1591</w:t>
      </w:r>
      <w:r>
        <w:rPr>
          <w:rFonts w:hint="eastAsia" w:ascii="宋体" w:hAnsi="宋体" w:eastAsia="宋体" w:cs="宋体"/>
        </w:rPr>
        <w:t>—</w:t>
      </w:r>
      <w:r>
        <w:rPr>
          <w:rFonts w:hint="eastAsia" w:ascii="宋体" w:hAnsi="宋体" w:eastAsia="宋体" w:cs="宋体"/>
          <w:lang w:val="en-US" w:eastAsia="zh-CN"/>
        </w:rPr>
        <w:t>2018</w:t>
      </w:r>
      <w:r>
        <w:rPr>
          <w:rFonts w:hint="eastAsia" w:ascii="宋体" w:hAnsi="宋体" w:eastAsia="宋体" w:cs="宋体"/>
        </w:rPr>
        <w:t>相比，除结构调整和编辑性改动外，主要技术变化如下：</w:t>
      </w:r>
    </w:p>
    <w:p w14:paraId="71FD7E7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eastAsia="zh-CN"/>
        </w:rPr>
        <w:t>更改了</w:t>
      </w:r>
      <w:r>
        <w:rPr>
          <w:rFonts w:hint="eastAsia" w:ascii="宋体" w:hAnsi="宋体" w:eastAsia="宋体" w:cs="宋体"/>
          <w:lang w:val="en-US" w:eastAsia="zh-CN"/>
        </w:rPr>
        <w:t>病毒检测方法</w:t>
      </w:r>
      <w:r>
        <w:rPr>
          <w:rFonts w:hint="eastAsia" w:ascii="宋体" w:hAnsi="宋体" w:eastAsia="宋体" w:cs="宋体"/>
        </w:rPr>
        <w:t>（见</w:t>
      </w:r>
      <w:r>
        <w:rPr>
          <w:rFonts w:hint="eastAsia" w:ascii="宋体" w:hAnsi="宋体" w:eastAsia="宋体" w:cs="宋体"/>
          <w:lang w:val="en-US" w:eastAsia="zh-CN"/>
        </w:rPr>
        <w:t>5.2</w:t>
      </w:r>
      <w:r>
        <w:rPr>
          <w:rFonts w:hint="eastAsia" w:ascii="宋体" w:hAnsi="宋体" w:eastAsia="宋体" w:cs="宋体"/>
        </w:rPr>
        <w:t>）</w:t>
      </w:r>
      <w:r>
        <w:rPr>
          <w:rFonts w:hint="eastAsia" w:ascii="宋体" w:hAnsi="宋体" w:cs="宋体"/>
          <w:lang w:eastAsia="zh-CN"/>
        </w:rPr>
        <w:t>；</w:t>
      </w:r>
    </w:p>
    <w:p w14:paraId="0C86470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eastAsia="zh-CN"/>
        </w:rPr>
        <w:t>增加了</w:t>
      </w:r>
      <w:r>
        <w:rPr>
          <w:rFonts w:hint="eastAsia" w:ascii="宋体" w:hAnsi="宋体" w:eastAsia="宋体" w:cs="宋体"/>
          <w:lang w:val="en-US" w:eastAsia="zh-CN"/>
        </w:rPr>
        <w:t>脱毒</w:t>
      </w:r>
      <w:r>
        <w:rPr>
          <w:rFonts w:hint="eastAsia" w:ascii="宋体" w:hAnsi="宋体" w:eastAsia="宋体" w:cs="宋体"/>
          <w:bCs/>
          <w:spacing w:val="20"/>
          <w:sz w:val="21"/>
          <w:szCs w:val="21"/>
        </w:rPr>
        <w:t>原原种苗的保存</w:t>
      </w:r>
      <w:r>
        <w:rPr>
          <w:rFonts w:hint="eastAsia" w:ascii="宋体" w:hAnsi="宋体" w:eastAsia="宋体" w:cs="宋体"/>
        </w:rPr>
        <w:t>（见</w:t>
      </w:r>
      <w:r>
        <w:rPr>
          <w:rFonts w:hint="eastAsia" w:ascii="宋体" w:hAnsi="宋体" w:eastAsia="宋体" w:cs="宋体"/>
          <w:lang w:val="en-US" w:eastAsia="zh-CN"/>
        </w:rPr>
        <w:t>9.3.3</w:t>
      </w:r>
      <w:r>
        <w:rPr>
          <w:rFonts w:hint="eastAsia" w:ascii="宋体" w:hAnsi="宋体" w:eastAsia="宋体" w:cs="宋体"/>
        </w:rPr>
        <w:t>）</w:t>
      </w:r>
      <w:r>
        <w:rPr>
          <w:rFonts w:hint="eastAsia" w:ascii="宋体" w:hAnsi="宋体" w:cs="宋体"/>
          <w:lang w:eastAsia="zh-CN"/>
        </w:rPr>
        <w:t>。</w:t>
      </w:r>
    </w:p>
    <w:p w14:paraId="30C9F5F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本文件由山西省农业农村厅提出、组织实施和监督检查。</w:t>
      </w:r>
    </w:p>
    <w:p w14:paraId="5DED688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本文件由山西省市场监督管理局对标准的组织实施情况进行监督检查。</w:t>
      </w:r>
    </w:p>
    <w:p w14:paraId="34E532B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本文件由山西省农业标准化技术委员会（SXS/TC19)归口。</w:t>
      </w:r>
    </w:p>
    <w:p w14:paraId="5FDF322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rPr>
        <w:t>本文件起草单位：</w:t>
      </w:r>
      <w:r>
        <w:rPr>
          <w:rFonts w:hint="eastAsia" w:ascii="宋体" w:hAnsi="宋体" w:eastAsia="宋体" w:cs="宋体"/>
          <w:lang w:val="en-US" w:eastAsia="zh-CN"/>
        </w:rPr>
        <w:t>山西农业大学</w:t>
      </w:r>
      <w:r>
        <w:rPr>
          <w:rFonts w:hint="eastAsia" w:ascii="宋体" w:hAnsi="宋体" w:cs="宋体"/>
          <w:lang w:val="en-US" w:eastAsia="zh-CN"/>
        </w:rPr>
        <w:t>。</w:t>
      </w:r>
    </w:p>
    <w:p w14:paraId="056AB9D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eastAsia="zh-CN"/>
        </w:rPr>
      </w:pPr>
      <w:r>
        <w:rPr>
          <w:rFonts w:hint="eastAsia" w:ascii="宋体" w:hAnsi="宋体" w:eastAsia="宋体" w:cs="宋体"/>
        </w:rPr>
        <w:t>本文件主要起草人：刘伟</w:t>
      </w:r>
      <w:r>
        <w:rPr>
          <w:rFonts w:hint="eastAsia" w:ascii="宋体" w:hAnsi="宋体" w:eastAsia="宋体" w:cs="宋体"/>
          <w:lang w:eastAsia="zh-CN"/>
        </w:rPr>
        <w:t>、</w:t>
      </w:r>
      <w:r>
        <w:rPr>
          <w:rFonts w:hint="eastAsia" w:ascii="宋体" w:hAnsi="宋体" w:eastAsia="宋体" w:cs="宋体"/>
        </w:rPr>
        <w:t>樊新萍</w:t>
      </w:r>
      <w:r>
        <w:rPr>
          <w:rFonts w:hint="eastAsia" w:ascii="宋体" w:hAnsi="宋体" w:eastAsia="宋体" w:cs="宋体"/>
          <w:lang w:eastAsia="zh-CN"/>
        </w:rPr>
        <w:t>、</w:t>
      </w:r>
      <w:r>
        <w:rPr>
          <w:rFonts w:hint="eastAsia" w:ascii="宋体" w:hAnsi="宋体" w:eastAsia="宋体" w:cs="宋体"/>
        </w:rPr>
        <w:t>王国平</w:t>
      </w:r>
      <w:r>
        <w:rPr>
          <w:rFonts w:hint="eastAsia" w:ascii="宋体" w:hAnsi="宋体" w:eastAsia="宋体" w:cs="宋体"/>
          <w:lang w:eastAsia="zh-CN"/>
        </w:rPr>
        <w:t>、</w:t>
      </w:r>
      <w:r>
        <w:rPr>
          <w:rFonts w:hint="eastAsia" w:ascii="宋体" w:hAnsi="宋体" w:eastAsia="宋体" w:cs="宋体"/>
        </w:rPr>
        <w:t>郭华</w:t>
      </w:r>
      <w:r>
        <w:rPr>
          <w:rFonts w:hint="eastAsia" w:ascii="宋体" w:hAnsi="宋体" w:eastAsia="宋体" w:cs="宋体"/>
          <w:lang w:eastAsia="zh-CN"/>
        </w:rPr>
        <w:t>、</w:t>
      </w:r>
      <w:r>
        <w:rPr>
          <w:rFonts w:hint="eastAsia" w:ascii="宋体" w:hAnsi="宋体" w:eastAsia="宋体" w:cs="宋体"/>
        </w:rPr>
        <w:t>史华平</w:t>
      </w:r>
      <w:r>
        <w:rPr>
          <w:rFonts w:hint="eastAsia" w:ascii="宋体" w:hAnsi="宋体" w:eastAsia="宋体" w:cs="宋体"/>
          <w:lang w:eastAsia="zh-CN"/>
        </w:rPr>
        <w:t>、</w:t>
      </w:r>
      <w:r>
        <w:rPr>
          <w:rFonts w:hint="eastAsia" w:ascii="宋体" w:hAnsi="宋体" w:eastAsia="宋体" w:cs="宋体"/>
        </w:rPr>
        <w:t>李磊</w:t>
      </w:r>
      <w:r>
        <w:rPr>
          <w:rFonts w:hint="eastAsia" w:ascii="宋体" w:hAnsi="宋体" w:eastAsia="宋体" w:cs="宋体"/>
          <w:lang w:eastAsia="zh-CN"/>
        </w:rPr>
        <w:t>、</w:t>
      </w:r>
      <w:r>
        <w:rPr>
          <w:rFonts w:hint="eastAsia" w:ascii="宋体" w:hAnsi="宋体" w:eastAsia="宋体" w:cs="宋体"/>
        </w:rPr>
        <w:t>李志强</w:t>
      </w:r>
      <w:r>
        <w:rPr>
          <w:rFonts w:hint="eastAsia" w:ascii="宋体" w:hAnsi="宋体" w:eastAsia="宋体" w:cs="宋体"/>
          <w:lang w:eastAsia="zh-CN"/>
        </w:rPr>
        <w:t>、</w:t>
      </w:r>
      <w:r>
        <w:rPr>
          <w:rFonts w:hint="eastAsia" w:ascii="宋体" w:hAnsi="宋体" w:eastAsia="宋体" w:cs="宋体"/>
        </w:rPr>
        <w:t>程春振</w:t>
      </w:r>
      <w:r>
        <w:rPr>
          <w:rFonts w:hint="eastAsia" w:ascii="宋体" w:hAnsi="宋体" w:eastAsia="宋体" w:cs="宋体"/>
          <w:lang w:eastAsia="zh-CN"/>
        </w:rPr>
        <w:t>、</w:t>
      </w:r>
      <w:r>
        <w:rPr>
          <w:rFonts w:hint="eastAsia" w:ascii="宋体" w:hAnsi="宋体" w:eastAsia="宋体" w:cs="宋体"/>
        </w:rPr>
        <w:t>武敏</w:t>
      </w:r>
      <w:r>
        <w:rPr>
          <w:rFonts w:hint="eastAsia" w:ascii="宋体" w:hAnsi="宋体" w:eastAsia="宋体" w:cs="宋体"/>
          <w:lang w:eastAsia="zh-CN"/>
        </w:rPr>
        <w:t>、</w:t>
      </w:r>
      <w:r>
        <w:rPr>
          <w:rFonts w:hint="eastAsia" w:ascii="宋体" w:hAnsi="宋体" w:eastAsia="宋体" w:cs="宋体"/>
        </w:rPr>
        <w:t>赵琪</w:t>
      </w:r>
      <w:r>
        <w:rPr>
          <w:rFonts w:hint="eastAsia" w:ascii="宋体" w:hAnsi="宋体" w:eastAsia="宋体" w:cs="宋体"/>
          <w:lang w:eastAsia="zh-CN"/>
        </w:rPr>
        <w:t>、</w:t>
      </w:r>
      <w:r>
        <w:rPr>
          <w:rFonts w:hint="eastAsia" w:ascii="宋体" w:hAnsi="宋体" w:eastAsia="宋体" w:cs="宋体"/>
        </w:rPr>
        <w:t>李倩</w:t>
      </w:r>
      <w:r>
        <w:rPr>
          <w:rFonts w:hint="eastAsia" w:ascii="宋体" w:hAnsi="宋体" w:cs="宋体"/>
          <w:lang w:eastAsia="zh-CN"/>
        </w:rPr>
        <w:t>。</w:t>
      </w:r>
    </w:p>
    <w:p w14:paraId="1E83483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本文件及其所代替文件的历次版本发布情况为：</w:t>
      </w:r>
    </w:p>
    <w:p w14:paraId="297BDE6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lang w:eastAsia="zh-CN"/>
        </w:rPr>
      </w:pPr>
      <w:r>
        <w:rPr>
          <w:rFonts w:hint="eastAsia" w:ascii="宋体" w:hAnsi="宋体" w:eastAsia="宋体" w:cs="宋体"/>
        </w:rPr>
        <w:t>——</w:t>
      </w:r>
      <w:r>
        <w:rPr>
          <w:rFonts w:hint="eastAsia" w:ascii="宋体" w:hAnsi="宋体" w:eastAsia="宋体" w:cs="宋体"/>
          <w:lang w:val="en-US" w:eastAsia="zh-CN"/>
        </w:rPr>
        <w:t>2018</w:t>
      </w:r>
      <w:r>
        <w:rPr>
          <w:rFonts w:hint="eastAsia" w:ascii="宋体" w:hAnsi="宋体" w:eastAsia="宋体" w:cs="宋体"/>
        </w:rPr>
        <w:t>年首次发布</w:t>
      </w:r>
      <w:r>
        <w:rPr>
          <w:rFonts w:hint="eastAsia" w:ascii="宋体" w:hAnsi="宋体" w:eastAsia="宋体" w:cs="宋体"/>
          <w:lang w:eastAsia="zh-CN"/>
        </w:rPr>
        <w:t>为</w:t>
      </w:r>
      <w:r>
        <w:rPr>
          <w:rFonts w:hint="eastAsia" w:ascii="宋体" w:hAnsi="宋体" w:eastAsia="宋体" w:cs="宋体"/>
        </w:rPr>
        <w:t>DB</w:t>
      </w:r>
      <w:r>
        <w:rPr>
          <w:rFonts w:hint="eastAsia" w:ascii="宋体" w:hAnsi="宋体" w:eastAsia="宋体" w:cs="宋体"/>
          <w:lang w:val="en-US" w:eastAsia="zh-CN"/>
        </w:rPr>
        <w:t>14</w:t>
      </w:r>
      <w:r>
        <w:rPr>
          <w:rFonts w:hint="eastAsia" w:ascii="宋体" w:hAnsi="宋体" w:eastAsia="宋体" w:cs="宋体"/>
        </w:rPr>
        <w:t xml:space="preserve">/T </w:t>
      </w:r>
      <w:r>
        <w:rPr>
          <w:rFonts w:hint="eastAsia" w:ascii="宋体" w:hAnsi="宋体" w:eastAsia="宋体" w:cs="宋体"/>
          <w:lang w:val="en-US" w:eastAsia="zh-CN"/>
        </w:rPr>
        <w:t>1591</w:t>
      </w:r>
      <w:r>
        <w:rPr>
          <w:rFonts w:hint="eastAsia" w:ascii="宋体" w:hAnsi="宋体" w:eastAsia="宋体" w:cs="宋体"/>
        </w:rPr>
        <w:t>—</w:t>
      </w:r>
      <w:r>
        <w:rPr>
          <w:rFonts w:hint="eastAsia" w:ascii="宋体" w:hAnsi="宋体" w:eastAsia="宋体" w:cs="宋体"/>
          <w:lang w:val="en-US" w:eastAsia="zh-CN"/>
        </w:rPr>
        <w:t>2018</w:t>
      </w:r>
      <w:r>
        <w:rPr>
          <w:rFonts w:hint="eastAsia" w:ascii="宋体" w:hAnsi="宋体" w:eastAsia="宋体" w:cs="宋体"/>
          <w:lang w:eastAsia="zh-CN"/>
        </w:rPr>
        <w:t>；</w:t>
      </w:r>
    </w:p>
    <w:p w14:paraId="34D74C3E">
      <w:pPr>
        <w:pStyle w:val="58"/>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本次为</w:t>
      </w:r>
      <w:r>
        <w:rPr>
          <w:rFonts w:hint="eastAsia" w:ascii="宋体" w:hAnsi="宋体" w:eastAsia="宋体" w:cs="宋体"/>
        </w:rPr>
        <w:t>第</w:t>
      </w:r>
      <w:r>
        <w:rPr>
          <w:rFonts w:hint="eastAsia" w:ascii="宋体" w:hAnsi="宋体" w:eastAsia="宋体" w:cs="宋体"/>
          <w:lang w:eastAsia="zh-CN"/>
        </w:rPr>
        <w:t>一</w:t>
      </w:r>
      <w:r>
        <w:rPr>
          <w:rFonts w:hint="eastAsia" w:ascii="宋体" w:hAnsi="宋体" w:eastAsia="宋体" w:cs="宋体"/>
        </w:rPr>
        <w:t>次修订</w:t>
      </w:r>
      <w:r>
        <w:rPr>
          <w:rFonts w:hint="eastAsia" w:ascii="宋体" w:hAnsi="宋体" w:eastAsia="宋体" w:cs="宋体"/>
          <w:lang w:eastAsia="zh-CN"/>
        </w:rPr>
        <w:t>。</w:t>
      </w:r>
    </w:p>
    <w:p w14:paraId="3788C36D">
      <w:pPr>
        <w:pStyle w:val="58"/>
        <w:ind w:firstLine="420"/>
      </w:pPr>
    </w:p>
    <w:p w14:paraId="3AFAF883">
      <w:pPr>
        <w:pStyle w:val="58"/>
        <w:ind w:firstLine="420"/>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p>
    <w:bookmarkEnd w:id="18"/>
    <w:p w14:paraId="63110E2B">
      <w:pPr>
        <w:spacing w:line="20" w:lineRule="exact"/>
        <w:jc w:val="center"/>
        <w:rPr>
          <w:rFonts w:ascii="黑体" w:hAnsi="黑体" w:eastAsia="黑体"/>
          <w:sz w:val="32"/>
          <w:szCs w:val="32"/>
        </w:rPr>
      </w:pPr>
      <w:bookmarkStart w:id="19" w:name="BookMark4"/>
    </w:p>
    <w:p w14:paraId="0B4F74C5">
      <w:pPr>
        <w:spacing w:line="20" w:lineRule="exact"/>
        <w:jc w:val="center"/>
        <w:rPr>
          <w:rFonts w:ascii="黑体" w:hAnsi="黑体" w:eastAsia="黑体"/>
          <w:sz w:val="32"/>
          <w:szCs w:val="32"/>
        </w:rPr>
      </w:pPr>
    </w:p>
    <w:p w14:paraId="3F0FB5C6">
      <w:pPr>
        <w:pStyle w:val="178"/>
        <w:spacing w:before="3" w:beforeLines="1" w:after="686" w:afterLines="220"/>
      </w:pPr>
      <w:bookmarkStart w:id="20" w:name="NEW_STAND_NAME"/>
      <w:r>
        <w:rPr>
          <w:rFonts w:hint="eastAsia"/>
        </w:rPr>
        <w:t>草莓脱毒原原种苗制备技术规程</w:t>
      </w:r>
    </w:p>
    <w:bookmarkEnd w:id="20"/>
    <w:p w14:paraId="3AAB2DBB">
      <w:pPr>
        <w:pStyle w:val="105"/>
        <w:spacing w:before="312" w:after="312"/>
      </w:pPr>
      <w:bookmarkStart w:id="21" w:name="_Toc17233333"/>
      <w:bookmarkStart w:id="22" w:name="_Toc24884218"/>
      <w:bookmarkStart w:id="23" w:name="_Toc129680411"/>
      <w:bookmarkStart w:id="24" w:name="_Toc31258"/>
      <w:bookmarkStart w:id="25" w:name="_Toc26986771"/>
      <w:bookmarkStart w:id="26" w:name="_Toc97191423"/>
      <w:bookmarkStart w:id="27" w:name="_Toc17233325"/>
      <w:bookmarkStart w:id="28" w:name="_Toc7958"/>
      <w:bookmarkStart w:id="29" w:name="_Toc26986530"/>
      <w:bookmarkStart w:id="30" w:name="_Toc26718930"/>
      <w:bookmarkStart w:id="31" w:name="_Toc26648465"/>
      <w:bookmarkStart w:id="32" w:name="_Toc24884211"/>
      <w:r>
        <w:rPr>
          <w:rFonts w:hint="eastAsia"/>
        </w:rPr>
        <w:t>范围</w:t>
      </w:r>
      <w:bookmarkEnd w:id="21"/>
      <w:bookmarkEnd w:id="22"/>
      <w:bookmarkEnd w:id="23"/>
      <w:bookmarkEnd w:id="24"/>
      <w:bookmarkEnd w:id="25"/>
      <w:bookmarkEnd w:id="26"/>
      <w:bookmarkEnd w:id="27"/>
      <w:bookmarkEnd w:id="28"/>
      <w:bookmarkEnd w:id="29"/>
      <w:bookmarkEnd w:id="30"/>
      <w:bookmarkEnd w:id="31"/>
      <w:bookmarkEnd w:id="32"/>
    </w:p>
    <w:p w14:paraId="0AC6F857">
      <w:pPr>
        <w:pStyle w:val="230"/>
        <w:rPr>
          <w:rFonts w:hint="eastAsia"/>
        </w:rPr>
      </w:pPr>
      <w:bookmarkStart w:id="33" w:name="_Hlk129683105"/>
      <w:bookmarkStart w:id="34" w:name="_Toc26648466"/>
      <w:bookmarkStart w:id="35" w:name="_Toc17233334"/>
      <w:bookmarkStart w:id="36" w:name="_Toc17233326"/>
      <w:bookmarkStart w:id="37" w:name="_Toc24884219"/>
      <w:bookmarkStart w:id="38" w:name="_Toc24884212"/>
      <w:r>
        <w:rPr>
          <w:rFonts w:hint="eastAsia"/>
        </w:rPr>
        <w:t>本</w:t>
      </w:r>
      <w:r>
        <w:rPr>
          <w:rFonts w:hint="eastAsia"/>
          <w:lang w:val="en-US" w:eastAsia="zh-CN"/>
        </w:rPr>
        <w:t>文件</w:t>
      </w:r>
      <w:r>
        <w:rPr>
          <w:rFonts w:hint="eastAsia"/>
        </w:rPr>
        <w:t>规定了草莓脱毒原原种苗制备的术语和定义</w:t>
      </w:r>
      <w:r>
        <w:rPr>
          <w:rFonts w:hint="eastAsia"/>
          <w:lang w:eastAsia="zh-CN"/>
        </w:rPr>
        <w:t>、</w:t>
      </w:r>
      <w:r>
        <w:rPr>
          <w:rFonts w:hint="eastAsia"/>
        </w:rPr>
        <w:t>外植体的选择</w:t>
      </w:r>
      <w:r>
        <w:rPr>
          <w:rFonts w:hint="eastAsia"/>
          <w:lang w:eastAsia="zh-CN"/>
        </w:rPr>
        <w:t>、</w:t>
      </w:r>
      <w:r>
        <w:rPr>
          <w:rFonts w:hint="eastAsia"/>
        </w:rPr>
        <w:t>脱毒方法</w:t>
      </w:r>
      <w:r>
        <w:rPr>
          <w:rFonts w:hint="eastAsia"/>
          <w:lang w:eastAsia="zh-CN"/>
        </w:rPr>
        <w:t>、</w:t>
      </w:r>
      <w:r>
        <w:rPr>
          <w:rFonts w:hint="eastAsia"/>
          <w:lang w:val="en-US" w:eastAsia="zh-CN"/>
        </w:rPr>
        <w:t>病毒检测方法、</w:t>
      </w:r>
      <w:r>
        <w:rPr>
          <w:rFonts w:hint="eastAsia"/>
        </w:rPr>
        <w:t>茎尖的初代培养</w:t>
      </w:r>
      <w:r>
        <w:rPr>
          <w:rFonts w:hint="eastAsia"/>
          <w:lang w:eastAsia="zh-CN"/>
        </w:rPr>
        <w:t>、</w:t>
      </w:r>
      <w:r>
        <w:rPr>
          <w:rFonts w:hint="eastAsia"/>
        </w:rPr>
        <w:t>组培苗的继代扩繁</w:t>
      </w:r>
      <w:r>
        <w:rPr>
          <w:rFonts w:hint="eastAsia"/>
          <w:lang w:eastAsia="zh-CN"/>
        </w:rPr>
        <w:t>、</w:t>
      </w:r>
      <w:r>
        <w:rPr>
          <w:rFonts w:hint="eastAsia"/>
        </w:rPr>
        <w:t>生根诱导及驯化移栽</w:t>
      </w:r>
      <w:r>
        <w:rPr>
          <w:rFonts w:hint="eastAsia"/>
          <w:lang w:eastAsia="zh-CN"/>
        </w:rPr>
        <w:t>、</w:t>
      </w:r>
      <w:r>
        <w:rPr>
          <w:rFonts w:hint="eastAsia" w:ascii="宋体" w:hAnsi="宋体" w:eastAsia="宋体" w:cs="Times New Roman"/>
          <w:bCs/>
          <w:spacing w:val="20"/>
          <w:sz w:val="21"/>
          <w:szCs w:val="21"/>
        </w:rPr>
        <w:t>原原种苗的保存方式</w:t>
      </w:r>
      <w:r>
        <w:rPr>
          <w:rFonts w:hint="eastAsia"/>
        </w:rPr>
        <w:t>。</w:t>
      </w:r>
    </w:p>
    <w:p w14:paraId="581665C6">
      <w:pPr>
        <w:pStyle w:val="230"/>
        <w:rPr>
          <w:rFonts w:hint="eastAsia"/>
        </w:rPr>
      </w:pPr>
      <w:r>
        <w:rPr>
          <w:rFonts w:hint="eastAsia"/>
        </w:rPr>
        <w:t>本</w:t>
      </w:r>
      <w:r>
        <w:rPr>
          <w:rFonts w:hint="eastAsia"/>
          <w:lang w:val="en-US" w:eastAsia="zh-CN"/>
        </w:rPr>
        <w:t>文件</w:t>
      </w:r>
      <w:r>
        <w:rPr>
          <w:rFonts w:hint="eastAsia"/>
        </w:rPr>
        <w:t>适用于草莓脱毒原原种苗的制备。</w:t>
      </w:r>
    </w:p>
    <w:bookmarkEnd w:id="33"/>
    <w:p w14:paraId="3C673DB5">
      <w:pPr>
        <w:pStyle w:val="105"/>
        <w:spacing w:before="312" w:after="312"/>
      </w:pPr>
      <w:bookmarkStart w:id="39" w:name="_Toc97191424"/>
      <w:bookmarkStart w:id="40" w:name="_Toc26986772"/>
      <w:bookmarkStart w:id="41" w:name="_Toc26986531"/>
      <w:bookmarkStart w:id="42" w:name="_Toc17472"/>
      <w:bookmarkStart w:id="43" w:name="_Toc129680412"/>
      <w:bookmarkStart w:id="44" w:name="_Toc26718931"/>
      <w:bookmarkStart w:id="45" w:name="_Toc20210"/>
      <w:r>
        <w:rPr>
          <w:rFonts w:hint="eastAsia"/>
        </w:rPr>
        <w:t>规范性引用文件</w:t>
      </w:r>
      <w:bookmarkEnd w:id="34"/>
      <w:bookmarkEnd w:id="35"/>
      <w:bookmarkEnd w:id="36"/>
      <w:bookmarkEnd w:id="37"/>
      <w:bookmarkEnd w:id="38"/>
      <w:bookmarkEnd w:id="39"/>
      <w:bookmarkEnd w:id="40"/>
      <w:bookmarkEnd w:id="41"/>
      <w:bookmarkEnd w:id="42"/>
      <w:bookmarkEnd w:id="43"/>
      <w:bookmarkEnd w:id="44"/>
      <w:bookmarkEnd w:id="45"/>
    </w:p>
    <w:p w14:paraId="1B0D3A44">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F9B2AAA">
      <w:pPr>
        <w:pStyle w:val="58"/>
        <w:ind w:firstLine="420"/>
      </w:pPr>
      <w:r>
        <w:rPr>
          <w:rFonts w:hint="eastAsia" w:ascii="Times New Roman"/>
        </w:rPr>
        <w:t>NY/T 3032-2016 草莓脱毒种苗生产技术规</w:t>
      </w:r>
      <w:r>
        <w:rPr>
          <w:rFonts w:ascii="Times New Roman"/>
        </w:rPr>
        <w:t>程</w:t>
      </w:r>
    </w:p>
    <w:p w14:paraId="1924277F">
      <w:pPr>
        <w:pStyle w:val="105"/>
        <w:spacing w:before="312" w:after="312"/>
      </w:pPr>
      <w:bookmarkStart w:id="46" w:name="_Toc129680413"/>
      <w:bookmarkStart w:id="47" w:name="_Toc31392"/>
      <w:bookmarkStart w:id="48" w:name="_Toc97191425"/>
      <w:bookmarkStart w:id="49" w:name="_Toc2484"/>
      <w:r>
        <w:rPr>
          <w:rFonts w:hint="eastAsia"/>
          <w:szCs w:val="21"/>
        </w:rPr>
        <w:t>术语和定义</w:t>
      </w:r>
      <w:bookmarkEnd w:id="46"/>
      <w:bookmarkEnd w:id="47"/>
      <w:bookmarkEnd w:id="48"/>
      <w:bookmarkEnd w:id="49"/>
    </w:p>
    <w:p w14:paraId="5F2B3BEE">
      <w:pPr>
        <w:pStyle w:val="58"/>
        <w:ind w:firstLine="420"/>
      </w:pPr>
      <w:bookmarkStart w:id="50" w:name="_Toc26986532"/>
      <w:bookmarkEnd w:id="50"/>
      <w:r>
        <w:t>下列术语和定义适用于本文件。</w:t>
      </w:r>
    </w:p>
    <w:p w14:paraId="5E6711B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草莓脱毒原原种苗</w:t>
      </w:r>
    </w:p>
    <w:p w14:paraId="03F6021A">
      <w:pPr>
        <w:pStyle w:val="230"/>
        <w:rPr>
          <w:rFonts w:hint="eastAsia"/>
        </w:rPr>
      </w:pPr>
      <w:r>
        <w:rPr>
          <w:rFonts w:hint="eastAsia"/>
        </w:rPr>
        <w:t>指脱毒的草莓组培苗移栽于无草莓病源、虫源的隔离区内</w:t>
      </w:r>
      <w:r>
        <w:rPr>
          <w:rFonts w:hint="eastAsia"/>
          <w:lang w:val="en-US" w:eastAsia="zh-CN"/>
        </w:rPr>
        <w:t>生长</w:t>
      </w:r>
      <w:r>
        <w:rPr>
          <w:rFonts w:hint="eastAsia"/>
        </w:rPr>
        <w:t>的植株。</w:t>
      </w:r>
    </w:p>
    <w:p w14:paraId="462BBEC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微茎尖脱毒</w:t>
      </w:r>
    </w:p>
    <w:p w14:paraId="30326412">
      <w:pPr>
        <w:pStyle w:val="58"/>
        <w:ind w:firstLine="420"/>
      </w:pPr>
      <w:r>
        <w:rPr>
          <w:rFonts w:ascii="Times New Roman"/>
        </w:rPr>
        <w:t>从匍匐茎上切取约0.2 mm茎尖分生组织接种至培养基中，分化出的组培苗可脱除病毒</w:t>
      </w:r>
      <w:r>
        <w:rPr>
          <w:rFonts w:hint="eastAsia"/>
        </w:rPr>
        <w:t>。</w:t>
      </w:r>
    </w:p>
    <w:p w14:paraId="4922A8FF">
      <w:pPr>
        <w:pStyle w:val="105"/>
        <w:spacing w:before="312" w:after="312"/>
      </w:pPr>
      <w:bookmarkStart w:id="51" w:name="_Toc23233"/>
      <w:bookmarkStart w:id="52" w:name="_Toc7319"/>
      <w:r>
        <w:rPr>
          <w:rFonts w:hint="eastAsia"/>
          <w:lang w:val="en-US" w:eastAsia="zh-CN"/>
        </w:rPr>
        <w:t>外植体选择</w:t>
      </w:r>
      <w:bookmarkEnd w:id="51"/>
      <w:bookmarkEnd w:id="52"/>
    </w:p>
    <w:p w14:paraId="152D9F15">
      <w:pPr>
        <w:pStyle w:val="106"/>
        <w:spacing w:before="156" w:after="156"/>
      </w:pPr>
      <w:bookmarkStart w:id="53" w:name="_Toc129680415"/>
      <w:bookmarkStart w:id="54" w:name="_Toc861"/>
      <w:bookmarkStart w:id="55" w:name="_Toc471832715"/>
      <w:r>
        <w:rPr>
          <w:rFonts w:hint="eastAsia"/>
          <w:lang w:val="en-US" w:eastAsia="zh-CN"/>
        </w:rPr>
        <w:t>采集时期</w:t>
      </w:r>
      <w:bookmarkEnd w:id="53"/>
      <w:bookmarkEnd w:id="54"/>
      <w:bookmarkEnd w:id="55"/>
    </w:p>
    <w:p w14:paraId="7A73ACED">
      <w:pPr>
        <w:pStyle w:val="175"/>
        <w:numPr>
          <w:ilvl w:val="0"/>
          <w:numId w:val="0"/>
        </w:numPr>
        <w:ind w:left="425" w:leftChars="0"/>
        <w:rPr>
          <w:rFonts w:hint="eastAsia" w:eastAsia="宋体"/>
          <w:lang w:eastAsia="zh-CN"/>
        </w:rPr>
      </w:pPr>
      <w:r>
        <w:rPr>
          <w:rFonts w:hint="eastAsia"/>
        </w:rPr>
        <w:t>外植体宜在结果后期匍匐茎大量抽生阶段进行采集</w:t>
      </w:r>
      <w:r>
        <w:rPr>
          <w:rFonts w:hint="eastAsia"/>
          <w:lang w:eastAsia="zh-CN"/>
        </w:rPr>
        <w:t>。</w:t>
      </w:r>
    </w:p>
    <w:p w14:paraId="3DC40925">
      <w:pPr>
        <w:pStyle w:val="106"/>
        <w:spacing w:before="156" w:after="156"/>
      </w:pPr>
      <w:bookmarkStart w:id="56" w:name="_Toc471832716"/>
      <w:bookmarkStart w:id="57" w:name="_Toc21812"/>
      <w:bookmarkStart w:id="58" w:name="_Toc129680416"/>
      <w:r>
        <w:rPr>
          <w:rFonts w:hint="eastAsia"/>
          <w:lang w:val="en-US" w:eastAsia="zh-CN"/>
        </w:rPr>
        <w:t>选择要求</w:t>
      </w:r>
      <w:bookmarkEnd w:id="56"/>
      <w:bookmarkEnd w:id="57"/>
      <w:bookmarkEnd w:id="58"/>
    </w:p>
    <w:p w14:paraId="3F4ACD78">
      <w:pPr>
        <w:pStyle w:val="230"/>
      </w:pPr>
      <w:r>
        <w:rPr>
          <w:rFonts w:hint="eastAsia"/>
        </w:rPr>
        <w:t>选取健壮、无病、开花结果正常的草莓植株作为母株，采集刚抽出且叶片未展开的匍匐茎作为外植体材料。</w:t>
      </w:r>
    </w:p>
    <w:p w14:paraId="62FC2AB8">
      <w:pPr>
        <w:pStyle w:val="105"/>
        <w:spacing w:before="312" w:after="312"/>
      </w:pPr>
      <w:bookmarkStart w:id="59" w:name="_Toc7184"/>
      <w:bookmarkStart w:id="60" w:name="_Toc18600"/>
      <w:r>
        <w:rPr>
          <w:rFonts w:hint="eastAsia"/>
          <w:lang w:val="en-US" w:eastAsia="zh-CN"/>
        </w:rPr>
        <w:t>脱毒与检测</w:t>
      </w:r>
      <w:bookmarkEnd w:id="59"/>
      <w:bookmarkEnd w:id="60"/>
    </w:p>
    <w:p w14:paraId="614DEBD2">
      <w:pPr>
        <w:pStyle w:val="106"/>
        <w:spacing w:before="156" w:after="156"/>
      </w:pPr>
      <w:bookmarkStart w:id="61" w:name="_Toc277"/>
      <w:r>
        <w:rPr>
          <w:rFonts w:hint="eastAsia"/>
          <w:lang w:val="en-US" w:eastAsia="zh-CN"/>
        </w:rPr>
        <w:t>脱毒方法</w:t>
      </w:r>
      <w:bookmarkEnd w:id="61"/>
    </w:p>
    <w:p w14:paraId="402D4F06">
      <w:pPr>
        <w:pStyle w:val="230"/>
      </w:pPr>
      <w:r>
        <w:rPr>
          <w:rFonts w:hint="eastAsia"/>
        </w:rPr>
        <w:t>采用微茎尖脱毒法对草莓匍匐茎外植体材料进行脱毒处理。</w:t>
      </w:r>
    </w:p>
    <w:p w14:paraId="2977EC09">
      <w:pPr>
        <w:pStyle w:val="106"/>
        <w:spacing w:before="156" w:after="156"/>
      </w:pPr>
      <w:bookmarkStart w:id="62" w:name="_Toc30305"/>
      <w:r>
        <w:rPr>
          <w:rFonts w:hint="eastAsia"/>
          <w:lang w:val="en-US" w:eastAsia="zh-CN"/>
        </w:rPr>
        <w:t>病毒检测</w:t>
      </w:r>
      <w:bookmarkEnd w:id="62"/>
    </w:p>
    <w:p w14:paraId="45FDF0A4">
      <w:pPr>
        <w:pStyle w:val="230"/>
      </w:pPr>
      <w:r>
        <w:rPr>
          <w:rFonts w:hint="eastAsia" w:ascii="Times New Roman"/>
          <w:lang w:val="en-US" w:eastAsia="zh-CN"/>
        </w:rPr>
        <w:t>针对</w:t>
      </w:r>
      <w:r>
        <w:rPr>
          <w:rFonts w:hint="eastAsia" w:ascii="Times New Roman"/>
        </w:rPr>
        <w:t>草莓斑驳病毒(</w:t>
      </w:r>
      <w:r>
        <w:rPr>
          <w:rFonts w:hint="eastAsia" w:ascii="Times New Roman"/>
          <w:i/>
          <w:iCs/>
          <w:lang w:val="en-US" w:eastAsia="zh-CN"/>
        </w:rPr>
        <w:t>S</w:t>
      </w:r>
      <w:r>
        <w:rPr>
          <w:rFonts w:hint="eastAsia" w:ascii="Times New Roman"/>
          <w:i/>
          <w:iCs/>
        </w:rPr>
        <w:t>trawberry mottle virus</w:t>
      </w:r>
      <w:r>
        <w:rPr>
          <w:rFonts w:hint="eastAsia" w:ascii="Times New Roman"/>
        </w:rPr>
        <w:t>, SMoV)、草莓轻型黄边病毒(</w:t>
      </w:r>
      <w:r>
        <w:rPr>
          <w:rFonts w:hint="eastAsia" w:ascii="Times New Roman"/>
          <w:i/>
          <w:iCs/>
          <w:lang w:val="en-US" w:eastAsia="zh-CN"/>
        </w:rPr>
        <w:t>S</w:t>
      </w:r>
      <w:r>
        <w:rPr>
          <w:rFonts w:hint="eastAsia" w:ascii="Times New Roman"/>
          <w:i/>
          <w:iCs/>
        </w:rPr>
        <w:t>trawberry mild yellow edge virus</w:t>
      </w:r>
      <w:r>
        <w:rPr>
          <w:rFonts w:hint="eastAsia" w:ascii="Times New Roman"/>
        </w:rPr>
        <w:t>, SMYEV)、草莓镶脉病毒(</w:t>
      </w:r>
      <w:r>
        <w:rPr>
          <w:rFonts w:hint="eastAsia" w:ascii="Times New Roman"/>
          <w:i/>
          <w:iCs/>
          <w:lang w:val="en-US" w:eastAsia="zh-CN"/>
        </w:rPr>
        <w:t>S</w:t>
      </w:r>
      <w:r>
        <w:rPr>
          <w:rFonts w:hint="eastAsia" w:ascii="Times New Roman"/>
          <w:i/>
          <w:iCs/>
        </w:rPr>
        <w:t>trawberry vein band virus</w:t>
      </w:r>
      <w:r>
        <w:rPr>
          <w:rFonts w:hint="eastAsia" w:ascii="Times New Roman"/>
        </w:rPr>
        <w:t>, SVBV)</w:t>
      </w:r>
      <w:r>
        <w:rPr>
          <w:rFonts w:hint="eastAsia" w:ascii="Times New Roman"/>
          <w:lang w:val="en-US" w:eastAsia="zh-CN"/>
        </w:rPr>
        <w:t>利用RT-PCR法进行检测，具体操作</w:t>
      </w:r>
      <w:r>
        <w:rPr>
          <w:rFonts w:ascii="Times New Roman"/>
        </w:rPr>
        <w:t>依据</w:t>
      </w:r>
      <w:r>
        <w:rPr>
          <w:rFonts w:hint="eastAsia" w:ascii="Times New Roman"/>
          <w:lang w:val="en-US" w:eastAsia="zh-CN"/>
        </w:rPr>
        <w:t>NY T3032-2016</w:t>
      </w:r>
      <w:r>
        <w:rPr>
          <w:rFonts w:ascii="Times New Roman"/>
        </w:rPr>
        <w:t>的要求执行。</w:t>
      </w:r>
    </w:p>
    <w:p w14:paraId="7BA8EE64">
      <w:pPr>
        <w:pStyle w:val="105"/>
        <w:spacing w:before="312" w:after="312"/>
      </w:pPr>
      <w:bookmarkStart w:id="63" w:name="_Toc30190"/>
      <w:bookmarkStart w:id="64" w:name="_Toc20849"/>
      <w:r>
        <w:rPr>
          <w:rFonts w:hint="eastAsia"/>
          <w:lang w:val="en-US" w:eastAsia="zh-CN"/>
        </w:rPr>
        <w:t>茎尖初代培养</w:t>
      </w:r>
      <w:bookmarkEnd w:id="63"/>
      <w:bookmarkEnd w:id="64"/>
    </w:p>
    <w:p w14:paraId="2C8AD9E9">
      <w:pPr>
        <w:pStyle w:val="106"/>
        <w:spacing w:before="156" w:after="156"/>
      </w:pPr>
      <w:bookmarkStart w:id="65" w:name="_Toc26469"/>
      <w:r>
        <w:rPr>
          <w:rFonts w:hint="eastAsia"/>
          <w:lang w:val="en-US" w:eastAsia="zh-CN"/>
        </w:rPr>
        <w:t>初代培养基的选择</w:t>
      </w:r>
      <w:bookmarkEnd w:id="65"/>
    </w:p>
    <w:p w14:paraId="250B05BB">
      <w:pPr>
        <w:pStyle w:val="230"/>
      </w:pPr>
      <w:r>
        <w:rPr>
          <w:rFonts w:hint="default" w:ascii="Times New Roman" w:hAnsi="Times New Roman" w:cs="Times New Roman"/>
        </w:rPr>
        <w:t>草莓茎尖初代培养的培养基为MS+ 0.5 mg/L ~ 1.0 mg/L 6-BA，添加蔗糖30 g/L，调节培养基pH值至5.8。</w:t>
      </w:r>
    </w:p>
    <w:p w14:paraId="45B798A7">
      <w:pPr>
        <w:pStyle w:val="106"/>
        <w:spacing w:before="156" w:after="156"/>
      </w:pPr>
      <w:bookmarkStart w:id="66" w:name="_Toc22359"/>
      <w:r>
        <w:rPr>
          <w:rFonts w:hint="eastAsia"/>
          <w:lang w:val="en-US" w:eastAsia="zh-CN"/>
        </w:rPr>
        <w:t>外植体消毒方法</w:t>
      </w:r>
      <w:bookmarkEnd w:id="66"/>
    </w:p>
    <w:p w14:paraId="11BE368C">
      <w:pPr>
        <w:pStyle w:val="230"/>
        <w:rPr>
          <w:rFonts w:hint="default" w:ascii="Times New Roman" w:hAnsi="Times New Roman" w:cs="Times New Roman"/>
        </w:rPr>
      </w:pPr>
      <w:r>
        <w:rPr>
          <w:rFonts w:hint="eastAsia" w:ascii="Times New Roman" w:hAnsi="Times New Roman" w:cs="Times New Roman"/>
        </w:rPr>
        <w:t>切取匍匐茎顶端2 cm左右作为外植体进行消毒，流水冲洗0.5 h ~ 2 h。在超净工作台下，用75%酒精将外植体浸泡30 s，再用1.0%次氯酸钠消毒10 min ~ 15 min或0.1%升汞溶液消毒5 min ~ 10 min，无菌水冲洗3</w:t>
      </w:r>
      <w:r>
        <w:rPr>
          <w:rFonts w:hint="eastAsia" w:ascii="Times New Roman" w:cs="Times New Roman"/>
          <w:lang w:val="en-US" w:eastAsia="zh-CN"/>
        </w:rPr>
        <w:t>次</w:t>
      </w:r>
      <w:r>
        <w:rPr>
          <w:rFonts w:hint="eastAsia" w:ascii="Times New Roman" w:hAnsi="Times New Roman" w:cs="Times New Roman"/>
        </w:rPr>
        <w:t xml:space="preserve"> ~ 5次。所用消毒液与外植体体积的比例约为10:1。</w:t>
      </w:r>
    </w:p>
    <w:p w14:paraId="5D6BAA15">
      <w:pPr>
        <w:pStyle w:val="106"/>
        <w:spacing w:before="156" w:after="156"/>
      </w:pPr>
      <w:bookmarkStart w:id="67" w:name="_Toc471832725"/>
      <w:bookmarkStart w:id="68" w:name="_Toc129680426"/>
      <w:bookmarkStart w:id="69" w:name="_Toc15467"/>
      <w:bookmarkStart w:id="70" w:name="_Toc505095456"/>
      <w:r>
        <w:rPr>
          <w:rFonts w:hint="eastAsia"/>
        </w:rPr>
        <w:t>茎尖分生组织切取</w:t>
      </w:r>
      <w:bookmarkEnd w:id="67"/>
      <w:bookmarkEnd w:id="68"/>
      <w:bookmarkEnd w:id="69"/>
      <w:bookmarkEnd w:id="70"/>
    </w:p>
    <w:p w14:paraId="331DB0E3">
      <w:pPr>
        <w:pStyle w:val="58"/>
        <w:rPr>
          <w:rFonts w:hint="default" w:ascii="Times New Roman" w:hAnsi="Times New Roman" w:cs="Times New Roman"/>
        </w:rPr>
      </w:pPr>
      <w:r>
        <w:rPr>
          <w:rFonts w:hint="default" w:ascii="Times New Roman" w:hAnsi="Times New Roman" w:cs="Times New Roman"/>
        </w:rPr>
        <w:t>将消毒后的外植体用无菌滤纸吸干水分。在解剖镜下用镊子将外植体顶端一层一层小心剥开，直至露出茎尖分生组织部分，用锋利的解剖刀切取约0.2 mm的茎尖，接种于初代培养基中。</w:t>
      </w:r>
    </w:p>
    <w:p w14:paraId="0B3285E6">
      <w:pPr>
        <w:pStyle w:val="106"/>
        <w:spacing w:before="156" w:after="156"/>
      </w:pPr>
      <w:bookmarkStart w:id="71" w:name="_Toc10405"/>
      <w:r>
        <w:rPr>
          <w:rFonts w:hint="eastAsia"/>
        </w:rPr>
        <w:t>初代培养条</w:t>
      </w:r>
      <w:r>
        <w:rPr>
          <w:rFonts w:hint="eastAsia"/>
          <w:lang w:val="en-US" w:eastAsia="zh-CN"/>
        </w:rPr>
        <w:t>件</w:t>
      </w:r>
      <w:bookmarkEnd w:id="71"/>
    </w:p>
    <w:p w14:paraId="6CD62F9C">
      <w:pPr>
        <w:pStyle w:val="58"/>
        <w:rPr>
          <w:rFonts w:hint="default" w:ascii="Times New Roman" w:hAnsi="Times New Roman" w:cs="Times New Roman"/>
        </w:rPr>
      </w:pPr>
      <w:r>
        <w:rPr>
          <w:rFonts w:ascii="Times New Roman"/>
        </w:rPr>
        <w:t>初始接种的茎尖暗培养2 d，之后转置于常规培养条件下培养，培养温度25 ℃，光照强度3 000 Lux~ 5 000 Lux，光照时间14 h/d ~ 16 h/d，相对湿度70% ~ 75%。茎尖组织在该培养条件下生长约50</w:t>
      </w:r>
      <w:r>
        <w:rPr>
          <w:rFonts w:hint="eastAsia" w:ascii="Times New Roman"/>
          <w:lang w:val="en-US" w:eastAsia="zh-CN"/>
        </w:rPr>
        <w:t xml:space="preserve"> d</w:t>
      </w:r>
      <w:r>
        <w:rPr>
          <w:rFonts w:ascii="Times New Roman"/>
        </w:rPr>
        <w:t xml:space="preserve"> ~ 60 d形成幼小无根植株后即可转至继代培养阶段。</w:t>
      </w:r>
    </w:p>
    <w:p w14:paraId="7ECD374C">
      <w:pPr>
        <w:pStyle w:val="105"/>
        <w:spacing w:before="312" w:after="312"/>
      </w:pPr>
      <w:bookmarkStart w:id="72" w:name="_Toc8966"/>
      <w:bookmarkStart w:id="73" w:name="_Toc16724"/>
      <w:r>
        <w:rPr>
          <w:rFonts w:hint="eastAsia"/>
          <w:lang w:val="en-US" w:eastAsia="zh-CN"/>
        </w:rPr>
        <w:t>组培苗继代扩繁</w:t>
      </w:r>
      <w:bookmarkEnd w:id="72"/>
      <w:bookmarkEnd w:id="73"/>
    </w:p>
    <w:p w14:paraId="7674C936">
      <w:pPr>
        <w:pStyle w:val="106"/>
        <w:spacing w:before="156" w:after="156"/>
      </w:pPr>
      <w:bookmarkStart w:id="74" w:name="_Toc615"/>
      <w:r>
        <w:rPr>
          <w:rFonts w:hint="eastAsia"/>
          <w:lang w:val="en-US" w:eastAsia="zh-CN"/>
        </w:rPr>
        <w:t>继代培养基的选择</w:t>
      </w:r>
      <w:bookmarkEnd w:id="74"/>
    </w:p>
    <w:p w14:paraId="28411E27">
      <w:pPr>
        <w:pStyle w:val="230"/>
      </w:pPr>
      <w:r>
        <w:rPr>
          <w:rFonts w:ascii="Times New Roman"/>
        </w:rPr>
        <w:t>适宜草莓继代扩繁的培养基为MS + 0.1 mg/L ~ 0.3 mg/L 6-BA + 0.1 mg/L NAA，添加蔗糖30 g/L，调节培养基pH值至5.8</w:t>
      </w:r>
      <w:r>
        <w:rPr>
          <w:rFonts w:hint="eastAsia"/>
        </w:rPr>
        <w:t>。</w:t>
      </w:r>
    </w:p>
    <w:p w14:paraId="5BA49187">
      <w:pPr>
        <w:pStyle w:val="106"/>
        <w:spacing w:before="156" w:after="156"/>
      </w:pPr>
      <w:bookmarkStart w:id="75" w:name="_Toc129680429"/>
      <w:bookmarkStart w:id="76" w:name="_Toc505095460"/>
      <w:bookmarkStart w:id="77" w:name="_Toc5548"/>
      <w:bookmarkStart w:id="78" w:name="_Toc471832728"/>
      <w:r>
        <w:rPr>
          <w:rFonts w:hint="eastAsia"/>
        </w:rPr>
        <w:t>继代过程的条件控制</w:t>
      </w:r>
      <w:bookmarkEnd w:id="75"/>
      <w:bookmarkEnd w:id="76"/>
      <w:bookmarkEnd w:id="77"/>
      <w:bookmarkEnd w:id="78"/>
    </w:p>
    <w:p w14:paraId="6B7064B4">
      <w:pPr>
        <w:pStyle w:val="230"/>
        <w:rPr>
          <w:rFonts w:ascii="Times New Roman"/>
        </w:rPr>
      </w:pPr>
      <w:r>
        <w:rPr>
          <w:rFonts w:ascii="Times New Roman"/>
        </w:rPr>
        <w:t>草莓组培苗继代培养条件为：培养温度25 ℃，光照强度3 000 Lux ~ 5 000 Lux，光照时间14 h/d ~ 16</w:t>
      </w:r>
      <w:r>
        <w:rPr>
          <w:rFonts w:hint="eastAsia" w:ascii="Times New Roman"/>
          <w:lang w:val="en-US" w:eastAsia="zh-CN"/>
        </w:rPr>
        <w:t xml:space="preserve"> </w:t>
      </w:r>
      <w:r>
        <w:rPr>
          <w:rFonts w:ascii="Times New Roman"/>
        </w:rPr>
        <w:t>h/d，相对湿度70% ~ 75%。继代培养每隔30 d ~ 40 d 需继代一次。用于制备脱毒原原种苗的组培苗在继代次数上应控制在7次以内，总继代培养时间不宜超过一年</w:t>
      </w:r>
      <w:r>
        <w:rPr>
          <w:rFonts w:hint="eastAsia" w:ascii="Times New Roman"/>
          <w:lang w:eastAsia="zh-CN"/>
        </w:rPr>
        <w:t>，</w:t>
      </w:r>
      <w:r>
        <w:rPr>
          <w:rFonts w:ascii="Times New Roman"/>
        </w:rPr>
        <w:t>即草莓组培苗应在每年重新制备。组培生产过程应参照附录A进行详细登记。</w:t>
      </w:r>
    </w:p>
    <w:p w14:paraId="3EA160CA">
      <w:pPr>
        <w:pStyle w:val="105"/>
        <w:spacing w:before="312" w:after="312"/>
      </w:pPr>
      <w:bookmarkStart w:id="79" w:name="_Toc12500"/>
      <w:bookmarkStart w:id="80" w:name="_Toc3531"/>
      <w:r>
        <w:rPr>
          <w:rFonts w:hint="eastAsia"/>
          <w:lang w:val="en-US" w:eastAsia="zh-CN"/>
        </w:rPr>
        <w:t>组培苗生根诱导</w:t>
      </w:r>
      <w:bookmarkEnd w:id="79"/>
      <w:bookmarkEnd w:id="80"/>
    </w:p>
    <w:p w14:paraId="31A2B726">
      <w:pPr>
        <w:pStyle w:val="106"/>
        <w:spacing w:before="156" w:after="156"/>
      </w:pPr>
      <w:bookmarkStart w:id="81" w:name="_Toc25832"/>
      <w:r>
        <w:rPr>
          <w:rFonts w:hint="eastAsia"/>
          <w:lang w:val="en-US" w:eastAsia="zh-CN"/>
        </w:rPr>
        <w:t>生根培养基的选择</w:t>
      </w:r>
      <w:bookmarkEnd w:id="81"/>
    </w:p>
    <w:p w14:paraId="04DABCF9">
      <w:pPr>
        <w:pStyle w:val="230"/>
        <w:rPr>
          <w:rFonts w:hint="eastAsia"/>
        </w:rPr>
      </w:pPr>
      <w:r>
        <w:rPr>
          <w:rFonts w:ascii="Times New Roman"/>
        </w:rPr>
        <w:t>诱导草莓生根的培养基为1/2MS + 0.1</w:t>
      </w:r>
      <w:r>
        <w:rPr>
          <w:rFonts w:hint="eastAsia" w:ascii="Times New Roman"/>
          <w:lang w:val="en-US" w:eastAsia="zh-CN"/>
        </w:rPr>
        <w:t xml:space="preserve"> </w:t>
      </w:r>
      <w:r>
        <w:rPr>
          <w:rFonts w:ascii="Times New Roman"/>
        </w:rPr>
        <w:t>mg/L NAA，添加蔗糖30 g/L，调节培养基pH值至5.8</w:t>
      </w:r>
      <w:r>
        <w:rPr>
          <w:rFonts w:hint="eastAsia"/>
        </w:rPr>
        <w:t>。</w:t>
      </w:r>
    </w:p>
    <w:p w14:paraId="3C1289FE">
      <w:pPr>
        <w:pStyle w:val="106"/>
        <w:spacing w:before="156" w:after="156"/>
      </w:pPr>
      <w:bookmarkStart w:id="82" w:name="_Toc27317"/>
      <w:r>
        <w:rPr>
          <w:rFonts w:hint="eastAsia"/>
          <w:lang w:val="en-US" w:eastAsia="zh-CN"/>
        </w:rPr>
        <w:t>生根</w:t>
      </w:r>
      <w:r>
        <w:rPr>
          <w:rFonts w:hint="eastAsia"/>
        </w:rPr>
        <w:t>过程的条件控制</w:t>
      </w:r>
      <w:bookmarkEnd w:id="82"/>
    </w:p>
    <w:p w14:paraId="793BC8C7">
      <w:pPr>
        <w:pStyle w:val="230"/>
        <w:rPr>
          <w:rFonts w:hint="eastAsia" w:ascii="Times New Roman"/>
        </w:rPr>
      </w:pPr>
      <w:r>
        <w:rPr>
          <w:rFonts w:ascii="Times New Roman"/>
        </w:rPr>
        <w:t>用生长健壮且无明显变异的组培苗进行生根诱导。选择高度在2 cm以上的组培幼苗接种至生根培养基进行生根。一般无根苗转接至生根培养基培养30 d左右即有多条根系产生，此时即达到驯化移栽的条件。生根阶段的培养条件与继代过程相同。</w:t>
      </w:r>
    </w:p>
    <w:p w14:paraId="772FF54C">
      <w:pPr>
        <w:pStyle w:val="105"/>
        <w:spacing w:before="312" w:after="312"/>
        <w:rPr>
          <w:rFonts w:hint="eastAsia"/>
          <w:lang w:val="en-US" w:eastAsia="zh-CN"/>
        </w:rPr>
      </w:pPr>
      <w:bookmarkStart w:id="83" w:name="_Toc6946"/>
      <w:bookmarkStart w:id="84" w:name="_Toc505095464"/>
      <w:bookmarkStart w:id="85" w:name="_Toc12149"/>
      <w:r>
        <w:rPr>
          <w:rFonts w:hint="eastAsia"/>
          <w:lang w:val="en-US" w:eastAsia="zh-CN"/>
        </w:rPr>
        <w:t>组培苗驯化移栽</w:t>
      </w:r>
      <w:bookmarkEnd w:id="83"/>
      <w:bookmarkEnd w:id="84"/>
      <w:bookmarkEnd w:id="85"/>
    </w:p>
    <w:p w14:paraId="2C5EA94D">
      <w:pPr>
        <w:pStyle w:val="106"/>
        <w:spacing w:before="156" w:after="156"/>
        <w:rPr>
          <w:rFonts w:hint="eastAsia"/>
          <w:lang w:val="en-US" w:eastAsia="zh-CN"/>
        </w:rPr>
      </w:pPr>
      <w:bookmarkStart w:id="86" w:name="_Toc505095465"/>
      <w:bookmarkStart w:id="87" w:name="_Toc3213"/>
      <w:r>
        <w:rPr>
          <w:rFonts w:hint="eastAsia"/>
          <w:lang w:val="en-US" w:eastAsia="zh-CN"/>
        </w:rPr>
        <w:t>组培苗的炼苗措施</w:t>
      </w:r>
      <w:bookmarkEnd w:id="86"/>
      <w:bookmarkEnd w:id="87"/>
    </w:p>
    <w:p w14:paraId="677E6F58">
      <w:pPr>
        <w:pStyle w:val="230"/>
        <w:rPr>
          <w:rFonts w:hint="eastAsia" w:ascii="Times New Roman"/>
        </w:rPr>
      </w:pPr>
      <w:r>
        <w:rPr>
          <w:rFonts w:ascii="Times New Roman"/>
        </w:rPr>
        <w:t>将达到驯化移栽条件的组培苗移至</w:t>
      </w:r>
      <w:r>
        <w:rPr>
          <w:rFonts w:hint="eastAsia" w:ascii="Times New Roman"/>
        </w:rPr>
        <w:t>塑料薄膜（或玻璃）温室或遮阴网室</w:t>
      </w:r>
      <w:r>
        <w:rPr>
          <w:rFonts w:ascii="Times New Roman"/>
        </w:rPr>
        <w:t>，温室内温度控制</w:t>
      </w:r>
      <w:r>
        <w:rPr>
          <w:rFonts w:hint="eastAsia" w:ascii="Times New Roman"/>
          <w:lang w:val="en-US" w:eastAsia="zh-CN"/>
        </w:rPr>
        <w:t xml:space="preserve">在10 </w:t>
      </w:r>
      <w:r>
        <w:rPr>
          <w:rFonts w:ascii="Times New Roman"/>
        </w:rPr>
        <w:t>℃</w:t>
      </w:r>
      <w:r>
        <w:rPr>
          <w:rFonts w:hint="eastAsia" w:ascii="Times New Roman"/>
          <w:lang w:val="en-US" w:eastAsia="zh-CN"/>
        </w:rPr>
        <w:t xml:space="preserve"> </w:t>
      </w:r>
      <w:r>
        <w:rPr>
          <w:rFonts w:ascii="Times New Roman"/>
        </w:rPr>
        <w:t>~</w:t>
      </w:r>
      <w:r>
        <w:rPr>
          <w:rFonts w:hint="eastAsia" w:ascii="Times New Roman"/>
          <w:lang w:val="en-US" w:eastAsia="zh-CN"/>
        </w:rPr>
        <w:t xml:space="preserve"> </w:t>
      </w:r>
      <w:r>
        <w:rPr>
          <w:rFonts w:ascii="Times New Roman"/>
        </w:rPr>
        <w:t>30 ℃</w:t>
      </w:r>
      <w:r>
        <w:rPr>
          <w:rFonts w:hint="eastAsia" w:ascii="Times New Roman"/>
          <w:lang w:eastAsia="zh-CN"/>
        </w:rPr>
        <w:t>，</w:t>
      </w:r>
      <w:r>
        <w:rPr>
          <w:rFonts w:hint="eastAsia" w:ascii="Times New Roman"/>
          <w:lang w:val="en-US" w:eastAsia="zh-CN"/>
        </w:rPr>
        <w:t>保持良好的通风条件，</w:t>
      </w:r>
      <w:r>
        <w:rPr>
          <w:rFonts w:ascii="Times New Roman"/>
        </w:rPr>
        <w:t>在自然光条件下炼苗7 d左右，每天10：00 ~ 15：00需进行适当遮荫，避免日光曝晒。采用闭盖炼苗2 d、松盖炼苗2 d、开盖炼苗3 d的方式使组培苗逐渐适应瓶外环境。</w:t>
      </w:r>
    </w:p>
    <w:p w14:paraId="21F54EF4">
      <w:pPr>
        <w:pStyle w:val="106"/>
        <w:spacing w:before="156" w:after="156"/>
        <w:rPr>
          <w:rFonts w:hint="eastAsia"/>
          <w:lang w:val="en-US" w:eastAsia="zh-CN"/>
        </w:rPr>
      </w:pPr>
      <w:bookmarkStart w:id="88" w:name="_Toc6052"/>
      <w:bookmarkStart w:id="89" w:name="_Toc505095466"/>
      <w:r>
        <w:rPr>
          <w:rFonts w:hint="eastAsia"/>
          <w:lang w:val="en-US" w:eastAsia="zh-CN"/>
        </w:rPr>
        <w:t>移栽基质的准备</w:t>
      </w:r>
      <w:bookmarkEnd w:id="88"/>
      <w:bookmarkEnd w:id="89"/>
    </w:p>
    <w:p w14:paraId="5DA8778B">
      <w:pPr>
        <w:pStyle w:val="230"/>
        <w:rPr>
          <w:rFonts w:ascii="Times New Roman"/>
        </w:rPr>
      </w:pPr>
      <w:r>
        <w:rPr>
          <w:rFonts w:hint="eastAsia" w:ascii="Times New Roman"/>
        </w:rPr>
        <w:t>移栽基质由草炭、蛭石和珍珠岩按4：3：1的比例</w:t>
      </w:r>
      <w:r>
        <w:rPr>
          <w:rFonts w:hint="eastAsia" w:ascii="Times New Roman"/>
          <w:lang w:val="en-US" w:eastAsia="zh-CN"/>
        </w:rPr>
        <w:t>复配而成</w:t>
      </w:r>
      <w:r>
        <w:rPr>
          <w:rFonts w:hint="eastAsia" w:ascii="Times New Roman"/>
          <w:lang w:eastAsia="zh-CN"/>
        </w:rPr>
        <w:t>，</w:t>
      </w:r>
      <w:r>
        <w:rPr>
          <w:rFonts w:hint="eastAsia" w:ascii="Times New Roman"/>
        </w:rPr>
        <w:t>同时添加氮、磷、钾比例为20：10：20</w:t>
      </w:r>
      <w:r>
        <w:rPr>
          <w:rFonts w:hint="eastAsia" w:ascii="Times New Roman"/>
          <w:lang w:val="en-US" w:eastAsia="zh-CN"/>
        </w:rPr>
        <w:t>的</w:t>
      </w:r>
      <w:r>
        <w:rPr>
          <w:rFonts w:hint="eastAsia" w:ascii="Times New Roman"/>
        </w:rPr>
        <w:t>复合肥料</w:t>
      </w:r>
      <w:r>
        <w:rPr>
          <w:rFonts w:hint="eastAsia" w:ascii="Times New Roman"/>
          <w:lang w:val="en-US" w:eastAsia="zh-CN"/>
        </w:rPr>
        <w:t xml:space="preserve"> </w:t>
      </w:r>
      <w:r>
        <w:rPr>
          <w:rFonts w:hint="eastAsia" w:ascii="Times New Roman"/>
        </w:rPr>
        <w:t>200 g/m</w:t>
      </w:r>
      <w:r>
        <w:rPr>
          <w:rFonts w:hint="eastAsia" w:ascii="Times New Roman"/>
          <w:vertAlign w:val="superscript"/>
        </w:rPr>
        <w:t>3</w:t>
      </w:r>
      <w:r>
        <w:rPr>
          <w:rFonts w:hint="eastAsia" w:ascii="Times New Roman"/>
        </w:rPr>
        <w:t>。</w:t>
      </w:r>
      <w:r>
        <w:rPr>
          <w:rFonts w:ascii="Times New Roman"/>
        </w:rPr>
        <w:t>移栽容器采用50孔育苗穴盘，提前装好基质并浇透水备用。</w:t>
      </w:r>
    </w:p>
    <w:p w14:paraId="7778F3F4">
      <w:pPr>
        <w:pStyle w:val="106"/>
        <w:spacing w:before="156" w:after="156"/>
        <w:rPr>
          <w:rFonts w:hint="eastAsia"/>
          <w:lang w:val="en-US" w:eastAsia="zh-CN"/>
        </w:rPr>
      </w:pPr>
      <w:bookmarkStart w:id="90" w:name="_Toc25100"/>
      <w:bookmarkStart w:id="91" w:name="_Toc505095467"/>
      <w:r>
        <w:rPr>
          <w:rFonts w:hint="eastAsia"/>
          <w:lang w:val="en-US" w:eastAsia="zh-CN"/>
        </w:rPr>
        <w:t>组培苗移栽及栽后管理</w:t>
      </w:r>
      <w:bookmarkEnd w:id="90"/>
      <w:bookmarkEnd w:id="91"/>
    </w:p>
    <w:p w14:paraId="57D01956">
      <w:pPr>
        <w:pStyle w:val="68"/>
        <w:spacing w:before="156" w:after="156"/>
        <w:rPr>
          <w:rFonts w:hint="eastAsia"/>
          <w:lang w:val="en-US" w:eastAsia="zh-CN"/>
        </w:rPr>
      </w:pPr>
      <w:r>
        <w:rPr>
          <w:rFonts w:hint="eastAsia"/>
          <w:lang w:val="en-US" w:eastAsia="zh-CN"/>
        </w:rPr>
        <w:t>移栽时间与方法</w:t>
      </w:r>
    </w:p>
    <w:p w14:paraId="5A87F1FB">
      <w:pPr>
        <w:pStyle w:val="230"/>
        <w:rPr>
          <w:rFonts w:hint="eastAsia" w:ascii="Times New Roman"/>
        </w:rPr>
      </w:pPr>
      <w:r>
        <w:rPr>
          <w:rFonts w:ascii="Times New Roman"/>
        </w:rPr>
        <w:t>组培苗炼苗后叶片舒展变成深绿色且出现表皮毛，此时即可进行移栽。移栽适宜在晴天的傍晚或阴天进行。移栽时需将幼苗用镊子小心地从瓶中夹出，用清水将根部的培养基清洗干净，然后将幼苗在75%百菌清可湿性粉剂800 ~ 1 000倍液浸泡杀菌10 min。杀过菌的幼苗即可移栽至育苗穴盘，移栽时应注意使根系保持舒展直立的状态，以利于新根的发生与幼苗的成活。</w:t>
      </w:r>
    </w:p>
    <w:p w14:paraId="2F61EBFD">
      <w:pPr>
        <w:pStyle w:val="68"/>
        <w:spacing w:before="156" w:after="156"/>
        <w:rPr>
          <w:rFonts w:hint="eastAsia"/>
          <w:lang w:val="en-US" w:eastAsia="zh-CN"/>
        </w:rPr>
      </w:pPr>
      <w:r>
        <w:rPr>
          <w:rFonts w:hint="eastAsia"/>
          <w:lang w:val="en-US" w:eastAsia="zh-CN"/>
        </w:rPr>
        <w:t>移栽后管理</w:t>
      </w:r>
    </w:p>
    <w:p w14:paraId="04F711B7">
      <w:pPr>
        <w:pStyle w:val="230"/>
        <w:rPr>
          <w:rFonts w:ascii="Times New Roman"/>
        </w:rPr>
      </w:pPr>
      <w:r>
        <w:rPr>
          <w:rFonts w:ascii="Times New Roman"/>
        </w:rPr>
        <w:t>移栽后将育苗穴盘整齐摆放于温室，然后需立即浇水，并搭建小拱棚外覆薄膜保湿。第一遍水需浇透，以利于迅速发根，以后每天上下午需各浇水</w:t>
      </w:r>
      <w:r>
        <w:rPr>
          <w:rFonts w:hint="eastAsia" w:ascii="Times New Roman"/>
          <w:lang w:val="en-US" w:eastAsia="zh-CN"/>
        </w:rPr>
        <w:t>1</w:t>
      </w:r>
      <w:r>
        <w:rPr>
          <w:rFonts w:ascii="Times New Roman"/>
        </w:rPr>
        <w:t>次。移栽后需仔细观察幼苗状态，及时控制温室内环境条件。移栽</w:t>
      </w:r>
      <w:r>
        <w:rPr>
          <w:rFonts w:hint="eastAsia" w:ascii="Times New Roman"/>
          <w:lang w:val="en-US" w:eastAsia="zh-CN"/>
        </w:rPr>
        <w:t>7 d</w:t>
      </w:r>
      <w:r>
        <w:rPr>
          <w:rFonts w:ascii="Times New Roman"/>
        </w:rPr>
        <w:t>内温室内温度应控制在25 ℃ ~ 30 ℃，湿度70%以上，并且晴天的10：00 ~ 15：00需特别注意遮阴。移栽</w:t>
      </w:r>
      <w:r>
        <w:rPr>
          <w:rFonts w:hint="eastAsia" w:ascii="Times New Roman"/>
          <w:lang w:val="en-US" w:eastAsia="zh-CN"/>
        </w:rPr>
        <w:t>7 d</w:t>
      </w:r>
      <w:r>
        <w:rPr>
          <w:rFonts w:ascii="Times New Roman"/>
        </w:rPr>
        <w:t>后草莓植株挺立且有新叶发生则证明移栽成活。</w:t>
      </w:r>
    </w:p>
    <w:p w14:paraId="14CFADB4">
      <w:pPr>
        <w:pStyle w:val="68"/>
        <w:spacing w:before="156" w:after="156"/>
        <w:rPr>
          <w:rFonts w:hint="eastAsia"/>
          <w:lang w:val="en-US" w:eastAsia="zh-CN"/>
        </w:rPr>
      </w:pPr>
      <w:r>
        <w:rPr>
          <w:rFonts w:hint="eastAsia"/>
          <w:lang w:val="en-US" w:eastAsia="zh-CN"/>
        </w:rPr>
        <w:t>脱毒原原种苗的保存</w:t>
      </w:r>
    </w:p>
    <w:p w14:paraId="5302AB66">
      <w:pPr>
        <w:pStyle w:val="230"/>
        <w:rPr>
          <w:rFonts w:hint="default" w:ascii="Times New Roman" w:eastAsia="宋体"/>
          <w:lang w:val="en-US" w:eastAsia="zh-CN"/>
        </w:rPr>
      </w:pPr>
      <w:r>
        <w:rPr>
          <w:rFonts w:hint="eastAsia" w:ascii="Times New Roman"/>
          <w:lang w:val="en-US" w:eastAsia="zh-CN"/>
        </w:rPr>
        <w:t>草莓脱毒原原种苗应在隔离网室中进行保存。为防止蚜虫、叶蝉等病毒介体昆虫的进入，网室应使用100目以上的网纱，确保有效的隔离效果，阻断病毒传播途径。</w:t>
      </w:r>
    </w:p>
    <w:p w14:paraId="78423FCA">
      <w:pPr>
        <w:pStyle w:val="106"/>
        <w:spacing w:before="156" w:after="156"/>
        <w:rPr>
          <w:rFonts w:hint="eastAsia"/>
          <w:lang w:val="en-US" w:eastAsia="zh-CN"/>
        </w:rPr>
      </w:pPr>
      <w:bookmarkStart w:id="92" w:name="_Toc505095468"/>
      <w:bookmarkStart w:id="93" w:name="_Toc25280"/>
      <w:r>
        <w:rPr>
          <w:rFonts w:hint="eastAsia"/>
          <w:lang w:val="en-US" w:eastAsia="zh-CN"/>
        </w:rPr>
        <w:t>脱毒原原种苗出圃</w:t>
      </w:r>
      <w:bookmarkEnd w:id="92"/>
      <w:bookmarkEnd w:id="93"/>
    </w:p>
    <w:p w14:paraId="0F71D42C">
      <w:pPr>
        <w:pStyle w:val="230"/>
        <w:rPr>
          <w:rFonts w:hint="eastAsia" w:ascii="Times New Roman"/>
        </w:rPr>
      </w:pPr>
      <w:r>
        <w:rPr>
          <w:rFonts w:ascii="Times New Roman"/>
        </w:rPr>
        <w:t>脱毒原原种苗达到</w:t>
      </w:r>
      <w:r>
        <w:rPr>
          <w:rFonts w:hint="eastAsia" w:ascii="Times New Roman"/>
          <w:lang w:val="en-US" w:eastAsia="zh-CN"/>
        </w:rPr>
        <w:t>三叶一心</w:t>
      </w:r>
      <w:r>
        <w:rPr>
          <w:rFonts w:ascii="Times New Roman"/>
        </w:rPr>
        <w:t>时即达到出圃标准。出圃的草莓脱毒原原种苗应参照附录B中的出圃登记表进行严格登记，实行可追溯管理。</w:t>
      </w:r>
    </w:p>
    <w:bookmarkEnd w:id="19"/>
    <w:p w14:paraId="0EED1129">
      <w:pPr>
        <w:pStyle w:val="237"/>
        <w:rPr>
          <w:rFonts w:hint="eastAsia"/>
        </w:rPr>
      </w:pPr>
      <w:bookmarkStart w:id="94" w:name="_Toc505095469"/>
      <w:bookmarkStart w:id="95" w:name="_Toc25336"/>
      <w:bookmarkStart w:id="96" w:name="_Toc6160"/>
      <w:bookmarkStart w:id="97" w:name="BookMark8"/>
      <w:r>
        <w:br w:type="textWrapping"/>
      </w:r>
      <w:r>
        <w:rPr>
          <w:rFonts w:hint="eastAsia"/>
        </w:rPr>
        <w:t>（资料性）</w:t>
      </w:r>
      <w:r>
        <w:br w:type="textWrapping"/>
      </w:r>
      <w:r>
        <w:rPr>
          <w:rFonts w:hint="eastAsia"/>
        </w:rPr>
        <w:t>草莓脱毒原原种苗组培生产记录表</w:t>
      </w:r>
      <w:bookmarkEnd w:id="94"/>
      <w:bookmarkEnd w:id="95"/>
      <w:bookmarkEnd w:id="96"/>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1914"/>
        <w:gridCol w:w="1914"/>
        <w:gridCol w:w="1914"/>
        <w:gridCol w:w="1914"/>
      </w:tblGrid>
      <w:tr w14:paraId="66AF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63A3CF3E">
            <w:pPr>
              <w:jc w:val="center"/>
              <w:rPr>
                <w:rFonts w:ascii="宋体"/>
                <w:sz w:val="18"/>
              </w:rPr>
            </w:pPr>
            <w:r>
              <w:rPr>
                <w:rFonts w:hint="eastAsia" w:ascii="宋体"/>
                <w:sz w:val="18"/>
              </w:rPr>
              <w:t>接种时间</w:t>
            </w:r>
          </w:p>
        </w:tc>
        <w:tc>
          <w:tcPr>
            <w:tcW w:w="1914" w:type="dxa"/>
            <w:tcBorders>
              <w:tl2br w:val="nil"/>
              <w:tr2bl w:val="nil"/>
            </w:tcBorders>
            <w:noWrap w:val="0"/>
            <w:vAlign w:val="top"/>
          </w:tcPr>
          <w:p w14:paraId="0CEF9AE6">
            <w:pPr>
              <w:jc w:val="center"/>
              <w:rPr>
                <w:rFonts w:ascii="宋体"/>
                <w:sz w:val="18"/>
              </w:rPr>
            </w:pPr>
            <w:r>
              <w:rPr>
                <w:rFonts w:hint="eastAsia" w:ascii="宋体"/>
                <w:sz w:val="18"/>
              </w:rPr>
              <w:t>品种名称</w:t>
            </w:r>
          </w:p>
        </w:tc>
        <w:tc>
          <w:tcPr>
            <w:tcW w:w="1914" w:type="dxa"/>
            <w:tcBorders>
              <w:tl2br w:val="nil"/>
              <w:tr2bl w:val="nil"/>
            </w:tcBorders>
            <w:noWrap w:val="0"/>
            <w:vAlign w:val="top"/>
          </w:tcPr>
          <w:p w14:paraId="4329C0E8">
            <w:pPr>
              <w:jc w:val="center"/>
              <w:rPr>
                <w:rFonts w:ascii="宋体"/>
                <w:sz w:val="18"/>
              </w:rPr>
            </w:pPr>
            <w:r>
              <w:rPr>
                <w:rFonts w:hint="eastAsia" w:ascii="宋体"/>
                <w:sz w:val="18"/>
              </w:rPr>
              <w:t>继代次数</w:t>
            </w:r>
          </w:p>
        </w:tc>
        <w:tc>
          <w:tcPr>
            <w:tcW w:w="1914" w:type="dxa"/>
            <w:tcBorders>
              <w:tl2br w:val="nil"/>
              <w:tr2bl w:val="nil"/>
            </w:tcBorders>
            <w:noWrap w:val="0"/>
            <w:vAlign w:val="top"/>
          </w:tcPr>
          <w:p w14:paraId="2A07DA90">
            <w:pPr>
              <w:jc w:val="center"/>
              <w:rPr>
                <w:rFonts w:ascii="宋体"/>
                <w:sz w:val="18"/>
              </w:rPr>
            </w:pPr>
            <w:r>
              <w:rPr>
                <w:rFonts w:hint="eastAsia" w:ascii="宋体"/>
                <w:sz w:val="18"/>
              </w:rPr>
              <w:t>接种数量（瓶）</w:t>
            </w:r>
          </w:p>
        </w:tc>
        <w:tc>
          <w:tcPr>
            <w:tcW w:w="1914" w:type="dxa"/>
            <w:tcBorders>
              <w:tl2br w:val="nil"/>
              <w:tr2bl w:val="nil"/>
            </w:tcBorders>
            <w:noWrap w:val="0"/>
            <w:vAlign w:val="top"/>
          </w:tcPr>
          <w:p w14:paraId="4DF3B70A">
            <w:pPr>
              <w:jc w:val="center"/>
              <w:rPr>
                <w:rFonts w:ascii="宋体"/>
                <w:sz w:val="18"/>
              </w:rPr>
            </w:pPr>
            <w:r>
              <w:rPr>
                <w:rFonts w:hint="eastAsia" w:ascii="宋体"/>
                <w:sz w:val="18"/>
              </w:rPr>
              <w:t>备注</w:t>
            </w:r>
          </w:p>
        </w:tc>
      </w:tr>
      <w:tr w14:paraId="2D47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22CDA4EC">
            <w:pPr>
              <w:rPr>
                <w:rFonts w:ascii="宋体"/>
                <w:sz w:val="18"/>
              </w:rPr>
            </w:pPr>
          </w:p>
        </w:tc>
        <w:tc>
          <w:tcPr>
            <w:tcW w:w="1914" w:type="dxa"/>
            <w:tcBorders>
              <w:tl2br w:val="nil"/>
              <w:tr2bl w:val="nil"/>
            </w:tcBorders>
            <w:noWrap w:val="0"/>
            <w:vAlign w:val="top"/>
          </w:tcPr>
          <w:p w14:paraId="719E9F41">
            <w:pPr>
              <w:rPr>
                <w:rFonts w:ascii="宋体"/>
                <w:sz w:val="18"/>
              </w:rPr>
            </w:pPr>
          </w:p>
        </w:tc>
        <w:tc>
          <w:tcPr>
            <w:tcW w:w="1914" w:type="dxa"/>
            <w:tcBorders>
              <w:tl2br w:val="nil"/>
              <w:tr2bl w:val="nil"/>
            </w:tcBorders>
            <w:noWrap w:val="0"/>
            <w:vAlign w:val="top"/>
          </w:tcPr>
          <w:p w14:paraId="5EDD28A5">
            <w:pPr>
              <w:rPr>
                <w:rFonts w:ascii="宋体"/>
                <w:sz w:val="18"/>
              </w:rPr>
            </w:pPr>
          </w:p>
        </w:tc>
        <w:tc>
          <w:tcPr>
            <w:tcW w:w="1914" w:type="dxa"/>
            <w:tcBorders>
              <w:tl2br w:val="nil"/>
              <w:tr2bl w:val="nil"/>
            </w:tcBorders>
            <w:noWrap w:val="0"/>
            <w:vAlign w:val="top"/>
          </w:tcPr>
          <w:p w14:paraId="4E0C1416">
            <w:pPr>
              <w:rPr>
                <w:rFonts w:ascii="宋体"/>
                <w:sz w:val="18"/>
              </w:rPr>
            </w:pPr>
          </w:p>
        </w:tc>
        <w:tc>
          <w:tcPr>
            <w:tcW w:w="1914" w:type="dxa"/>
            <w:tcBorders>
              <w:tl2br w:val="nil"/>
              <w:tr2bl w:val="nil"/>
            </w:tcBorders>
            <w:noWrap w:val="0"/>
            <w:vAlign w:val="top"/>
          </w:tcPr>
          <w:p w14:paraId="5766C11B">
            <w:pPr>
              <w:rPr>
                <w:rFonts w:ascii="宋体"/>
                <w:sz w:val="18"/>
              </w:rPr>
            </w:pPr>
          </w:p>
        </w:tc>
      </w:tr>
      <w:tr w14:paraId="43D9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5CC020D1">
            <w:pPr>
              <w:rPr>
                <w:rFonts w:ascii="宋体"/>
                <w:sz w:val="18"/>
              </w:rPr>
            </w:pPr>
          </w:p>
        </w:tc>
        <w:tc>
          <w:tcPr>
            <w:tcW w:w="1914" w:type="dxa"/>
            <w:tcBorders>
              <w:tl2br w:val="nil"/>
              <w:tr2bl w:val="nil"/>
            </w:tcBorders>
            <w:noWrap w:val="0"/>
            <w:vAlign w:val="top"/>
          </w:tcPr>
          <w:p w14:paraId="1272A3EF">
            <w:pPr>
              <w:rPr>
                <w:rFonts w:ascii="宋体"/>
                <w:sz w:val="18"/>
              </w:rPr>
            </w:pPr>
          </w:p>
        </w:tc>
        <w:tc>
          <w:tcPr>
            <w:tcW w:w="1914" w:type="dxa"/>
            <w:tcBorders>
              <w:tl2br w:val="nil"/>
              <w:tr2bl w:val="nil"/>
            </w:tcBorders>
            <w:noWrap w:val="0"/>
            <w:vAlign w:val="top"/>
          </w:tcPr>
          <w:p w14:paraId="5462A9FA">
            <w:pPr>
              <w:rPr>
                <w:rFonts w:ascii="宋体"/>
                <w:sz w:val="18"/>
              </w:rPr>
            </w:pPr>
          </w:p>
        </w:tc>
        <w:tc>
          <w:tcPr>
            <w:tcW w:w="1914" w:type="dxa"/>
            <w:tcBorders>
              <w:tl2br w:val="nil"/>
              <w:tr2bl w:val="nil"/>
            </w:tcBorders>
            <w:noWrap w:val="0"/>
            <w:vAlign w:val="top"/>
          </w:tcPr>
          <w:p w14:paraId="4FACC107">
            <w:pPr>
              <w:rPr>
                <w:rFonts w:ascii="宋体"/>
                <w:sz w:val="18"/>
              </w:rPr>
            </w:pPr>
          </w:p>
        </w:tc>
        <w:tc>
          <w:tcPr>
            <w:tcW w:w="1914" w:type="dxa"/>
            <w:tcBorders>
              <w:tl2br w:val="nil"/>
              <w:tr2bl w:val="nil"/>
            </w:tcBorders>
            <w:noWrap w:val="0"/>
            <w:vAlign w:val="top"/>
          </w:tcPr>
          <w:p w14:paraId="5D474880">
            <w:pPr>
              <w:rPr>
                <w:rFonts w:ascii="宋体"/>
                <w:sz w:val="18"/>
              </w:rPr>
            </w:pPr>
          </w:p>
        </w:tc>
      </w:tr>
      <w:tr w14:paraId="30EB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6C1747B6">
            <w:pPr>
              <w:rPr>
                <w:rFonts w:ascii="宋体"/>
                <w:sz w:val="18"/>
              </w:rPr>
            </w:pPr>
          </w:p>
        </w:tc>
        <w:tc>
          <w:tcPr>
            <w:tcW w:w="1914" w:type="dxa"/>
            <w:tcBorders>
              <w:tl2br w:val="nil"/>
              <w:tr2bl w:val="nil"/>
            </w:tcBorders>
            <w:noWrap w:val="0"/>
            <w:vAlign w:val="top"/>
          </w:tcPr>
          <w:p w14:paraId="54430C8F">
            <w:pPr>
              <w:rPr>
                <w:rFonts w:ascii="宋体"/>
                <w:sz w:val="18"/>
              </w:rPr>
            </w:pPr>
          </w:p>
        </w:tc>
        <w:tc>
          <w:tcPr>
            <w:tcW w:w="1914" w:type="dxa"/>
            <w:tcBorders>
              <w:tl2br w:val="nil"/>
              <w:tr2bl w:val="nil"/>
            </w:tcBorders>
            <w:noWrap w:val="0"/>
            <w:vAlign w:val="top"/>
          </w:tcPr>
          <w:p w14:paraId="2FC4EAE9">
            <w:pPr>
              <w:rPr>
                <w:rFonts w:ascii="宋体"/>
                <w:sz w:val="18"/>
              </w:rPr>
            </w:pPr>
          </w:p>
        </w:tc>
        <w:tc>
          <w:tcPr>
            <w:tcW w:w="1914" w:type="dxa"/>
            <w:tcBorders>
              <w:tl2br w:val="nil"/>
              <w:tr2bl w:val="nil"/>
            </w:tcBorders>
            <w:noWrap w:val="0"/>
            <w:vAlign w:val="top"/>
          </w:tcPr>
          <w:p w14:paraId="1EE03D87">
            <w:pPr>
              <w:rPr>
                <w:rFonts w:ascii="宋体"/>
                <w:sz w:val="18"/>
              </w:rPr>
            </w:pPr>
          </w:p>
        </w:tc>
        <w:tc>
          <w:tcPr>
            <w:tcW w:w="1914" w:type="dxa"/>
            <w:tcBorders>
              <w:tl2br w:val="nil"/>
              <w:tr2bl w:val="nil"/>
            </w:tcBorders>
            <w:noWrap w:val="0"/>
            <w:vAlign w:val="top"/>
          </w:tcPr>
          <w:p w14:paraId="6685C403">
            <w:pPr>
              <w:rPr>
                <w:rFonts w:ascii="宋体"/>
                <w:sz w:val="18"/>
              </w:rPr>
            </w:pPr>
          </w:p>
        </w:tc>
      </w:tr>
      <w:tr w14:paraId="1647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525F39FC">
            <w:pPr>
              <w:rPr>
                <w:rFonts w:ascii="宋体"/>
                <w:sz w:val="18"/>
              </w:rPr>
            </w:pPr>
          </w:p>
        </w:tc>
        <w:tc>
          <w:tcPr>
            <w:tcW w:w="1914" w:type="dxa"/>
            <w:tcBorders>
              <w:tl2br w:val="nil"/>
              <w:tr2bl w:val="nil"/>
            </w:tcBorders>
            <w:noWrap w:val="0"/>
            <w:vAlign w:val="top"/>
          </w:tcPr>
          <w:p w14:paraId="2F992DB4">
            <w:pPr>
              <w:rPr>
                <w:rFonts w:ascii="宋体"/>
                <w:sz w:val="18"/>
              </w:rPr>
            </w:pPr>
          </w:p>
        </w:tc>
        <w:tc>
          <w:tcPr>
            <w:tcW w:w="1914" w:type="dxa"/>
            <w:tcBorders>
              <w:tl2br w:val="nil"/>
              <w:tr2bl w:val="nil"/>
            </w:tcBorders>
            <w:noWrap w:val="0"/>
            <w:vAlign w:val="top"/>
          </w:tcPr>
          <w:p w14:paraId="213D6526">
            <w:pPr>
              <w:rPr>
                <w:rFonts w:ascii="宋体"/>
                <w:sz w:val="18"/>
              </w:rPr>
            </w:pPr>
          </w:p>
        </w:tc>
        <w:tc>
          <w:tcPr>
            <w:tcW w:w="1914" w:type="dxa"/>
            <w:tcBorders>
              <w:tl2br w:val="nil"/>
              <w:tr2bl w:val="nil"/>
            </w:tcBorders>
            <w:noWrap w:val="0"/>
            <w:vAlign w:val="top"/>
          </w:tcPr>
          <w:p w14:paraId="4962F1C9">
            <w:pPr>
              <w:rPr>
                <w:rFonts w:ascii="宋体"/>
                <w:sz w:val="18"/>
              </w:rPr>
            </w:pPr>
          </w:p>
        </w:tc>
        <w:tc>
          <w:tcPr>
            <w:tcW w:w="1914" w:type="dxa"/>
            <w:tcBorders>
              <w:tl2br w:val="nil"/>
              <w:tr2bl w:val="nil"/>
            </w:tcBorders>
            <w:noWrap w:val="0"/>
            <w:vAlign w:val="top"/>
          </w:tcPr>
          <w:p w14:paraId="595D4EE5">
            <w:pPr>
              <w:rPr>
                <w:rFonts w:ascii="宋体"/>
                <w:sz w:val="18"/>
              </w:rPr>
            </w:pPr>
          </w:p>
        </w:tc>
      </w:tr>
      <w:tr w14:paraId="3984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3B0C51BD">
            <w:pPr>
              <w:rPr>
                <w:rFonts w:ascii="宋体"/>
                <w:sz w:val="18"/>
              </w:rPr>
            </w:pPr>
          </w:p>
        </w:tc>
        <w:tc>
          <w:tcPr>
            <w:tcW w:w="1914" w:type="dxa"/>
            <w:tcBorders>
              <w:tl2br w:val="nil"/>
              <w:tr2bl w:val="nil"/>
            </w:tcBorders>
            <w:noWrap w:val="0"/>
            <w:vAlign w:val="top"/>
          </w:tcPr>
          <w:p w14:paraId="1189B764">
            <w:pPr>
              <w:rPr>
                <w:rFonts w:ascii="宋体"/>
                <w:sz w:val="18"/>
              </w:rPr>
            </w:pPr>
          </w:p>
        </w:tc>
        <w:tc>
          <w:tcPr>
            <w:tcW w:w="1914" w:type="dxa"/>
            <w:tcBorders>
              <w:tl2br w:val="nil"/>
              <w:tr2bl w:val="nil"/>
            </w:tcBorders>
            <w:noWrap w:val="0"/>
            <w:vAlign w:val="top"/>
          </w:tcPr>
          <w:p w14:paraId="15BC5DDC">
            <w:pPr>
              <w:rPr>
                <w:rFonts w:ascii="宋体"/>
                <w:sz w:val="18"/>
              </w:rPr>
            </w:pPr>
          </w:p>
        </w:tc>
        <w:tc>
          <w:tcPr>
            <w:tcW w:w="1914" w:type="dxa"/>
            <w:tcBorders>
              <w:tl2br w:val="nil"/>
              <w:tr2bl w:val="nil"/>
            </w:tcBorders>
            <w:noWrap w:val="0"/>
            <w:vAlign w:val="top"/>
          </w:tcPr>
          <w:p w14:paraId="033D8B9F">
            <w:pPr>
              <w:rPr>
                <w:rFonts w:ascii="宋体"/>
                <w:sz w:val="18"/>
              </w:rPr>
            </w:pPr>
          </w:p>
        </w:tc>
        <w:tc>
          <w:tcPr>
            <w:tcW w:w="1914" w:type="dxa"/>
            <w:tcBorders>
              <w:tl2br w:val="nil"/>
              <w:tr2bl w:val="nil"/>
            </w:tcBorders>
            <w:noWrap w:val="0"/>
            <w:vAlign w:val="top"/>
          </w:tcPr>
          <w:p w14:paraId="4E75E0E1">
            <w:pPr>
              <w:rPr>
                <w:rFonts w:ascii="宋体"/>
                <w:sz w:val="18"/>
              </w:rPr>
            </w:pPr>
          </w:p>
        </w:tc>
      </w:tr>
      <w:tr w14:paraId="7DC0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374C9D55">
            <w:pPr>
              <w:rPr>
                <w:rFonts w:ascii="宋体"/>
                <w:sz w:val="18"/>
              </w:rPr>
            </w:pPr>
          </w:p>
        </w:tc>
        <w:tc>
          <w:tcPr>
            <w:tcW w:w="1914" w:type="dxa"/>
            <w:tcBorders>
              <w:tl2br w:val="nil"/>
              <w:tr2bl w:val="nil"/>
            </w:tcBorders>
            <w:noWrap w:val="0"/>
            <w:vAlign w:val="top"/>
          </w:tcPr>
          <w:p w14:paraId="2AB9DA59">
            <w:pPr>
              <w:rPr>
                <w:rFonts w:ascii="宋体"/>
                <w:sz w:val="18"/>
              </w:rPr>
            </w:pPr>
          </w:p>
        </w:tc>
        <w:tc>
          <w:tcPr>
            <w:tcW w:w="1914" w:type="dxa"/>
            <w:tcBorders>
              <w:tl2br w:val="nil"/>
              <w:tr2bl w:val="nil"/>
            </w:tcBorders>
            <w:noWrap w:val="0"/>
            <w:vAlign w:val="top"/>
          </w:tcPr>
          <w:p w14:paraId="1B282FB1">
            <w:pPr>
              <w:rPr>
                <w:rFonts w:ascii="宋体"/>
                <w:sz w:val="18"/>
              </w:rPr>
            </w:pPr>
          </w:p>
        </w:tc>
        <w:tc>
          <w:tcPr>
            <w:tcW w:w="1914" w:type="dxa"/>
            <w:tcBorders>
              <w:tl2br w:val="nil"/>
              <w:tr2bl w:val="nil"/>
            </w:tcBorders>
            <w:noWrap w:val="0"/>
            <w:vAlign w:val="top"/>
          </w:tcPr>
          <w:p w14:paraId="4BBF3B0B">
            <w:pPr>
              <w:rPr>
                <w:rFonts w:ascii="宋体"/>
                <w:sz w:val="18"/>
              </w:rPr>
            </w:pPr>
          </w:p>
        </w:tc>
        <w:tc>
          <w:tcPr>
            <w:tcW w:w="1914" w:type="dxa"/>
            <w:tcBorders>
              <w:tl2br w:val="nil"/>
              <w:tr2bl w:val="nil"/>
            </w:tcBorders>
            <w:noWrap w:val="0"/>
            <w:vAlign w:val="top"/>
          </w:tcPr>
          <w:p w14:paraId="1CDDBE00">
            <w:pPr>
              <w:rPr>
                <w:rFonts w:ascii="宋体"/>
                <w:sz w:val="18"/>
              </w:rPr>
            </w:pPr>
          </w:p>
        </w:tc>
      </w:tr>
      <w:tr w14:paraId="327D1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l2br w:val="nil"/>
              <w:tr2bl w:val="nil"/>
            </w:tcBorders>
            <w:noWrap w:val="0"/>
            <w:vAlign w:val="top"/>
          </w:tcPr>
          <w:p w14:paraId="2F966901">
            <w:pPr>
              <w:rPr>
                <w:rFonts w:ascii="宋体"/>
                <w:sz w:val="18"/>
              </w:rPr>
            </w:pPr>
          </w:p>
        </w:tc>
        <w:tc>
          <w:tcPr>
            <w:tcW w:w="1914" w:type="dxa"/>
            <w:tcBorders>
              <w:tl2br w:val="nil"/>
              <w:tr2bl w:val="nil"/>
            </w:tcBorders>
            <w:noWrap w:val="0"/>
            <w:vAlign w:val="top"/>
          </w:tcPr>
          <w:p w14:paraId="2707FD0F">
            <w:pPr>
              <w:rPr>
                <w:rFonts w:ascii="宋体"/>
                <w:sz w:val="18"/>
              </w:rPr>
            </w:pPr>
          </w:p>
        </w:tc>
        <w:tc>
          <w:tcPr>
            <w:tcW w:w="1914" w:type="dxa"/>
            <w:tcBorders>
              <w:tl2br w:val="nil"/>
              <w:tr2bl w:val="nil"/>
            </w:tcBorders>
            <w:noWrap w:val="0"/>
            <w:vAlign w:val="top"/>
          </w:tcPr>
          <w:p w14:paraId="34DE907F">
            <w:pPr>
              <w:rPr>
                <w:rFonts w:ascii="宋体"/>
                <w:sz w:val="18"/>
              </w:rPr>
            </w:pPr>
          </w:p>
        </w:tc>
        <w:tc>
          <w:tcPr>
            <w:tcW w:w="1914" w:type="dxa"/>
            <w:tcBorders>
              <w:tl2br w:val="nil"/>
              <w:tr2bl w:val="nil"/>
            </w:tcBorders>
            <w:noWrap w:val="0"/>
            <w:vAlign w:val="top"/>
          </w:tcPr>
          <w:p w14:paraId="2503EE44">
            <w:pPr>
              <w:rPr>
                <w:rFonts w:ascii="宋体"/>
                <w:sz w:val="18"/>
              </w:rPr>
            </w:pPr>
          </w:p>
        </w:tc>
        <w:tc>
          <w:tcPr>
            <w:tcW w:w="1914" w:type="dxa"/>
            <w:tcBorders>
              <w:tl2br w:val="nil"/>
              <w:tr2bl w:val="nil"/>
            </w:tcBorders>
            <w:noWrap w:val="0"/>
            <w:vAlign w:val="top"/>
          </w:tcPr>
          <w:p w14:paraId="02CFB3F5">
            <w:pPr>
              <w:rPr>
                <w:rFonts w:ascii="宋体"/>
                <w:sz w:val="18"/>
              </w:rPr>
            </w:pPr>
          </w:p>
        </w:tc>
      </w:tr>
    </w:tbl>
    <w:p w14:paraId="4CCBD438">
      <w:pPr>
        <w:rPr>
          <w:rFonts w:hint="eastAsia"/>
        </w:rPr>
      </w:pPr>
      <w:bookmarkStart w:id="98" w:name="_Toc13787"/>
      <w:bookmarkStart w:id="99" w:name="_Toc505095470"/>
      <w:bookmarkStart w:id="100" w:name="_Toc3147"/>
      <w:r>
        <w:br w:type="page"/>
      </w:r>
    </w:p>
    <w:p w14:paraId="6AC8AA20">
      <w:pPr>
        <w:pStyle w:val="237"/>
        <w:rPr>
          <w:rFonts w:hint="eastAsia"/>
        </w:rPr>
      </w:pPr>
      <w:r>
        <w:br w:type="textWrapping"/>
      </w:r>
      <w:r>
        <w:rPr>
          <w:rFonts w:hint="eastAsia"/>
        </w:rPr>
        <w:t>（资料性）</w:t>
      </w:r>
      <w:r>
        <w:br w:type="textWrapping"/>
      </w:r>
      <w:r>
        <w:rPr>
          <w:rFonts w:hint="eastAsia"/>
        </w:rPr>
        <w:t>草莓脱毒原原种苗出圃登记表</w:t>
      </w:r>
      <w:bookmarkEnd w:id="98"/>
      <w:bookmarkEnd w:id="99"/>
      <w:bookmarkEnd w:id="100"/>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95"/>
        <w:gridCol w:w="1595"/>
        <w:gridCol w:w="1595"/>
        <w:gridCol w:w="1595"/>
        <w:gridCol w:w="1595"/>
      </w:tblGrid>
      <w:tr w14:paraId="106A1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443C1A23">
            <w:pPr>
              <w:jc w:val="center"/>
              <w:rPr>
                <w:rFonts w:ascii="宋体"/>
                <w:sz w:val="18"/>
              </w:rPr>
            </w:pPr>
            <w:r>
              <w:rPr>
                <w:rFonts w:hint="eastAsia" w:ascii="宋体"/>
                <w:color w:val="000000"/>
                <w:sz w:val="20"/>
                <w:szCs w:val="20"/>
              </w:rPr>
              <w:t>出圃时间</w:t>
            </w:r>
          </w:p>
        </w:tc>
        <w:tc>
          <w:tcPr>
            <w:tcW w:w="1595" w:type="dxa"/>
            <w:tcBorders>
              <w:tl2br w:val="nil"/>
              <w:tr2bl w:val="nil"/>
            </w:tcBorders>
            <w:noWrap w:val="0"/>
            <w:vAlign w:val="top"/>
          </w:tcPr>
          <w:p w14:paraId="35972DFE">
            <w:pPr>
              <w:jc w:val="center"/>
              <w:rPr>
                <w:rFonts w:ascii="宋体"/>
                <w:sz w:val="18"/>
              </w:rPr>
            </w:pPr>
            <w:r>
              <w:rPr>
                <w:rFonts w:hint="eastAsia" w:ascii="宋体"/>
                <w:color w:val="000000"/>
                <w:sz w:val="20"/>
                <w:szCs w:val="20"/>
              </w:rPr>
              <w:t>品种名称</w:t>
            </w:r>
          </w:p>
        </w:tc>
        <w:tc>
          <w:tcPr>
            <w:tcW w:w="1595" w:type="dxa"/>
            <w:tcBorders>
              <w:tl2br w:val="nil"/>
              <w:tr2bl w:val="nil"/>
            </w:tcBorders>
            <w:noWrap w:val="0"/>
            <w:vAlign w:val="top"/>
          </w:tcPr>
          <w:p w14:paraId="272D8631">
            <w:pPr>
              <w:jc w:val="center"/>
              <w:rPr>
                <w:rFonts w:ascii="宋体"/>
                <w:sz w:val="18"/>
              </w:rPr>
            </w:pPr>
            <w:r>
              <w:rPr>
                <w:rFonts w:hint="eastAsia" w:ascii="宋体"/>
                <w:color w:val="000000"/>
                <w:sz w:val="20"/>
                <w:szCs w:val="20"/>
              </w:rPr>
              <w:t>苗龄（天）</w:t>
            </w:r>
          </w:p>
        </w:tc>
        <w:tc>
          <w:tcPr>
            <w:tcW w:w="1595" w:type="dxa"/>
            <w:tcBorders>
              <w:tl2br w:val="nil"/>
              <w:tr2bl w:val="nil"/>
            </w:tcBorders>
            <w:noWrap w:val="0"/>
            <w:vAlign w:val="top"/>
          </w:tcPr>
          <w:p w14:paraId="5F81EFCB">
            <w:pPr>
              <w:jc w:val="center"/>
              <w:rPr>
                <w:rFonts w:ascii="宋体"/>
                <w:sz w:val="18"/>
              </w:rPr>
            </w:pPr>
            <w:r>
              <w:rPr>
                <w:rFonts w:hint="eastAsia" w:ascii="宋体"/>
                <w:color w:val="000000"/>
                <w:sz w:val="20"/>
                <w:szCs w:val="20"/>
              </w:rPr>
              <w:t>出圃数量（株）</w:t>
            </w:r>
          </w:p>
        </w:tc>
        <w:tc>
          <w:tcPr>
            <w:tcW w:w="1595" w:type="dxa"/>
            <w:tcBorders>
              <w:tl2br w:val="nil"/>
              <w:tr2bl w:val="nil"/>
            </w:tcBorders>
            <w:noWrap w:val="0"/>
            <w:vAlign w:val="top"/>
          </w:tcPr>
          <w:p w14:paraId="6B1E2067">
            <w:pPr>
              <w:jc w:val="center"/>
              <w:rPr>
                <w:rFonts w:ascii="宋体"/>
                <w:sz w:val="18"/>
              </w:rPr>
            </w:pPr>
            <w:r>
              <w:rPr>
                <w:rFonts w:hint="eastAsia" w:ascii="宋体"/>
                <w:color w:val="000000"/>
                <w:sz w:val="20"/>
                <w:szCs w:val="20"/>
              </w:rPr>
              <w:t>出圃去向</w:t>
            </w:r>
          </w:p>
        </w:tc>
        <w:tc>
          <w:tcPr>
            <w:tcW w:w="1595" w:type="dxa"/>
            <w:tcBorders>
              <w:tl2br w:val="nil"/>
              <w:tr2bl w:val="nil"/>
            </w:tcBorders>
            <w:noWrap w:val="0"/>
            <w:vAlign w:val="top"/>
          </w:tcPr>
          <w:p w14:paraId="67B8B524">
            <w:pPr>
              <w:jc w:val="center"/>
              <w:rPr>
                <w:rFonts w:ascii="宋体"/>
                <w:sz w:val="18"/>
              </w:rPr>
            </w:pPr>
            <w:r>
              <w:rPr>
                <w:rFonts w:hint="eastAsia" w:ascii="宋体"/>
                <w:color w:val="000000"/>
                <w:sz w:val="20"/>
                <w:szCs w:val="20"/>
              </w:rPr>
              <w:t>备注</w:t>
            </w:r>
          </w:p>
        </w:tc>
      </w:tr>
      <w:tr w14:paraId="5098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72EB8511">
            <w:pPr>
              <w:rPr>
                <w:rFonts w:ascii="宋体"/>
                <w:sz w:val="18"/>
              </w:rPr>
            </w:pPr>
          </w:p>
        </w:tc>
        <w:tc>
          <w:tcPr>
            <w:tcW w:w="1595" w:type="dxa"/>
            <w:tcBorders>
              <w:tl2br w:val="nil"/>
              <w:tr2bl w:val="nil"/>
            </w:tcBorders>
            <w:noWrap w:val="0"/>
            <w:vAlign w:val="top"/>
          </w:tcPr>
          <w:p w14:paraId="460BB450">
            <w:pPr>
              <w:rPr>
                <w:rFonts w:ascii="宋体"/>
                <w:sz w:val="18"/>
              </w:rPr>
            </w:pPr>
          </w:p>
        </w:tc>
        <w:tc>
          <w:tcPr>
            <w:tcW w:w="1595" w:type="dxa"/>
            <w:tcBorders>
              <w:tl2br w:val="nil"/>
              <w:tr2bl w:val="nil"/>
            </w:tcBorders>
            <w:noWrap w:val="0"/>
            <w:vAlign w:val="top"/>
          </w:tcPr>
          <w:p w14:paraId="4EF33514">
            <w:pPr>
              <w:rPr>
                <w:rFonts w:ascii="宋体"/>
                <w:sz w:val="18"/>
              </w:rPr>
            </w:pPr>
          </w:p>
        </w:tc>
        <w:tc>
          <w:tcPr>
            <w:tcW w:w="1595" w:type="dxa"/>
            <w:tcBorders>
              <w:tl2br w:val="nil"/>
              <w:tr2bl w:val="nil"/>
            </w:tcBorders>
            <w:noWrap w:val="0"/>
            <w:vAlign w:val="top"/>
          </w:tcPr>
          <w:p w14:paraId="2A38314F">
            <w:pPr>
              <w:rPr>
                <w:rFonts w:ascii="宋体"/>
                <w:sz w:val="18"/>
              </w:rPr>
            </w:pPr>
          </w:p>
        </w:tc>
        <w:tc>
          <w:tcPr>
            <w:tcW w:w="1595" w:type="dxa"/>
            <w:tcBorders>
              <w:tl2br w:val="nil"/>
              <w:tr2bl w:val="nil"/>
            </w:tcBorders>
            <w:noWrap w:val="0"/>
            <w:vAlign w:val="top"/>
          </w:tcPr>
          <w:p w14:paraId="217C378F">
            <w:pPr>
              <w:rPr>
                <w:rFonts w:ascii="宋体"/>
                <w:sz w:val="18"/>
              </w:rPr>
            </w:pPr>
          </w:p>
        </w:tc>
        <w:tc>
          <w:tcPr>
            <w:tcW w:w="1595" w:type="dxa"/>
            <w:tcBorders>
              <w:tl2br w:val="nil"/>
              <w:tr2bl w:val="nil"/>
            </w:tcBorders>
            <w:noWrap w:val="0"/>
            <w:vAlign w:val="top"/>
          </w:tcPr>
          <w:p w14:paraId="6924EDE2">
            <w:pPr>
              <w:rPr>
                <w:rFonts w:ascii="宋体"/>
                <w:sz w:val="18"/>
              </w:rPr>
            </w:pPr>
          </w:p>
        </w:tc>
      </w:tr>
      <w:tr w14:paraId="6FE0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7C3C6963">
            <w:pPr>
              <w:rPr>
                <w:rFonts w:ascii="宋体"/>
                <w:sz w:val="18"/>
              </w:rPr>
            </w:pPr>
          </w:p>
        </w:tc>
        <w:tc>
          <w:tcPr>
            <w:tcW w:w="1595" w:type="dxa"/>
            <w:tcBorders>
              <w:tl2br w:val="nil"/>
              <w:tr2bl w:val="nil"/>
            </w:tcBorders>
            <w:noWrap w:val="0"/>
            <w:vAlign w:val="top"/>
          </w:tcPr>
          <w:p w14:paraId="77F9E76F">
            <w:pPr>
              <w:rPr>
                <w:rFonts w:ascii="宋体"/>
                <w:sz w:val="18"/>
              </w:rPr>
            </w:pPr>
          </w:p>
        </w:tc>
        <w:tc>
          <w:tcPr>
            <w:tcW w:w="1595" w:type="dxa"/>
            <w:tcBorders>
              <w:tl2br w:val="nil"/>
              <w:tr2bl w:val="nil"/>
            </w:tcBorders>
            <w:noWrap w:val="0"/>
            <w:vAlign w:val="top"/>
          </w:tcPr>
          <w:p w14:paraId="0CC94D1B">
            <w:pPr>
              <w:rPr>
                <w:rFonts w:ascii="宋体"/>
                <w:sz w:val="18"/>
              </w:rPr>
            </w:pPr>
          </w:p>
        </w:tc>
        <w:tc>
          <w:tcPr>
            <w:tcW w:w="1595" w:type="dxa"/>
            <w:tcBorders>
              <w:tl2br w:val="nil"/>
              <w:tr2bl w:val="nil"/>
            </w:tcBorders>
            <w:noWrap w:val="0"/>
            <w:vAlign w:val="top"/>
          </w:tcPr>
          <w:p w14:paraId="076DDD00">
            <w:pPr>
              <w:rPr>
                <w:rFonts w:ascii="宋体"/>
                <w:sz w:val="18"/>
              </w:rPr>
            </w:pPr>
          </w:p>
        </w:tc>
        <w:tc>
          <w:tcPr>
            <w:tcW w:w="1595" w:type="dxa"/>
            <w:tcBorders>
              <w:tl2br w:val="nil"/>
              <w:tr2bl w:val="nil"/>
            </w:tcBorders>
            <w:noWrap w:val="0"/>
            <w:vAlign w:val="top"/>
          </w:tcPr>
          <w:p w14:paraId="4BC33974">
            <w:pPr>
              <w:rPr>
                <w:rFonts w:ascii="宋体"/>
                <w:sz w:val="18"/>
              </w:rPr>
            </w:pPr>
          </w:p>
        </w:tc>
        <w:tc>
          <w:tcPr>
            <w:tcW w:w="1595" w:type="dxa"/>
            <w:tcBorders>
              <w:tl2br w:val="nil"/>
              <w:tr2bl w:val="nil"/>
            </w:tcBorders>
            <w:noWrap w:val="0"/>
            <w:vAlign w:val="top"/>
          </w:tcPr>
          <w:p w14:paraId="1C292408">
            <w:pPr>
              <w:rPr>
                <w:rFonts w:ascii="宋体"/>
                <w:sz w:val="18"/>
              </w:rPr>
            </w:pPr>
          </w:p>
        </w:tc>
      </w:tr>
      <w:tr w14:paraId="5242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15868A15">
            <w:pPr>
              <w:rPr>
                <w:rFonts w:ascii="宋体"/>
                <w:sz w:val="18"/>
              </w:rPr>
            </w:pPr>
          </w:p>
        </w:tc>
        <w:tc>
          <w:tcPr>
            <w:tcW w:w="1595" w:type="dxa"/>
            <w:tcBorders>
              <w:tl2br w:val="nil"/>
              <w:tr2bl w:val="nil"/>
            </w:tcBorders>
            <w:noWrap w:val="0"/>
            <w:vAlign w:val="top"/>
          </w:tcPr>
          <w:p w14:paraId="58AC4223">
            <w:pPr>
              <w:rPr>
                <w:rFonts w:ascii="宋体"/>
                <w:sz w:val="18"/>
              </w:rPr>
            </w:pPr>
          </w:p>
        </w:tc>
        <w:tc>
          <w:tcPr>
            <w:tcW w:w="1595" w:type="dxa"/>
            <w:tcBorders>
              <w:tl2br w:val="nil"/>
              <w:tr2bl w:val="nil"/>
            </w:tcBorders>
            <w:noWrap w:val="0"/>
            <w:vAlign w:val="top"/>
          </w:tcPr>
          <w:p w14:paraId="3C1084D8">
            <w:pPr>
              <w:rPr>
                <w:rFonts w:ascii="宋体"/>
                <w:sz w:val="18"/>
              </w:rPr>
            </w:pPr>
          </w:p>
        </w:tc>
        <w:tc>
          <w:tcPr>
            <w:tcW w:w="1595" w:type="dxa"/>
            <w:tcBorders>
              <w:tl2br w:val="nil"/>
              <w:tr2bl w:val="nil"/>
            </w:tcBorders>
            <w:noWrap w:val="0"/>
            <w:vAlign w:val="top"/>
          </w:tcPr>
          <w:p w14:paraId="37281060">
            <w:pPr>
              <w:rPr>
                <w:rFonts w:ascii="宋体"/>
                <w:sz w:val="18"/>
              </w:rPr>
            </w:pPr>
          </w:p>
        </w:tc>
        <w:tc>
          <w:tcPr>
            <w:tcW w:w="1595" w:type="dxa"/>
            <w:tcBorders>
              <w:tl2br w:val="nil"/>
              <w:tr2bl w:val="nil"/>
            </w:tcBorders>
            <w:noWrap w:val="0"/>
            <w:vAlign w:val="top"/>
          </w:tcPr>
          <w:p w14:paraId="3BF20A1D">
            <w:pPr>
              <w:rPr>
                <w:rFonts w:ascii="宋体"/>
                <w:sz w:val="18"/>
              </w:rPr>
            </w:pPr>
          </w:p>
        </w:tc>
        <w:tc>
          <w:tcPr>
            <w:tcW w:w="1595" w:type="dxa"/>
            <w:tcBorders>
              <w:tl2br w:val="nil"/>
              <w:tr2bl w:val="nil"/>
            </w:tcBorders>
            <w:noWrap w:val="0"/>
            <w:vAlign w:val="top"/>
          </w:tcPr>
          <w:p w14:paraId="3D213B91">
            <w:pPr>
              <w:rPr>
                <w:rFonts w:ascii="宋体"/>
                <w:sz w:val="18"/>
              </w:rPr>
            </w:pPr>
          </w:p>
        </w:tc>
      </w:tr>
      <w:tr w14:paraId="2DE59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0FF98B01">
            <w:pPr>
              <w:rPr>
                <w:rFonts w:ascii="宋体"/>
                <w:sz w:val="18"/>
              </w:rPr>
            </w:pPr>
          </w:p>
        </w:tc>
        <w:tc>
          <w:tcPr>
            <w:tcW w:w="1595" w:type="dxa"/>
            <w:tcBorders>
              <w:tl2br w:val="nil"/>
              <w:tr2bl w:val="nil"/>
            </w:tcBorders>
            <w:noWrap w:val="0"/>
            <w:vAlign w:val="top"/>
          </w:tcPr>
          <w:p w14:paraId="6F0A5A16">
            <w:pPr>
              <w:rPr>
                <w:rFonts w:ascii="宋体"/>
                <w:sz w:val="18"/>
              </w:rPr>
            </w:pPr>
          </w:p>
        </w:tc>
        <w:tc>
          <w:tcPr>
            <w:tcW w:w="1595" w:type="dxa"/>
            <w:tcBorders>
              <w:tl2br w:val="nil"/>
              <w:tr2bl w:val="nil"/>
            </w:tcBorders>
            <w:noWrap w:val="0"/>
            <w:vAlign w:val="top"/>
          </w:tcPr>
          <w:p w14:paraId="0E1B7065">
            <w:pPr>
              <w:rPr>
                <w:rFonts w:ascii="宋体"/>
                <w:sz w:val="18"/>
              </w:rPr>
            </w:pPr>
          </w:p>
        </w:tc>
        <w:tc>
          <w:tcPr>
            <w:tcW w:w="1595" w:type="dxa"/>
            <w:tcBorders>
              <w:tl2br w:val="nil"/>
              <w:tr2bl w:val="nil"/>
            </w:tcBorders>
            <w:noWrap w:val="0"/>
            <w:vAlign w:val="top"/>
          </w:tcPr>
          <w:p w14:paraId="6BE4CF41">
            <w:pPr>
              <w:rPr>
                <w:rFonts w:ascii="宋体"/>
                <w:sz w:val="18"/>
              </w:rPr>
            </w:pPr>
          </w:p>
        </w:tc>
        <w:tc>
          <w:tcPr>
            <w:tcW w:w="1595" w:type="dxa"/>
            <w:tcBorders>
              <w:tl2br w:val="nil"/>
              <w:tr2bl w:val="nil"/>
            </w:tcBorders>
            <w:noWrap w:val="0"/>
            <w:vAlign w:val="top"/>
          </w:tcPr>
          <w:p w14:paraId="5E0CD0F3">
            <w:pPr>
              <w:rPr>
                <w:rFonts w:ascii="宋体"/>
                <w:sz w:val="18"/>
              </w:rPr>
            </w:pPr>
          </w:p>
        </w:tc>
        <w:tc>
          <w:tcPr>
            <w:tcW w:w="1595" w:type="dxa"/>
            <w:tcBorders>
              <w:tl2br w:val="nil"/>
              <w:tr2bl w:val="nil"/>
            </w:tcBorders>
            <w:noWrap w:val="0"/>
            <w:vAlign w:val="top"/>
          </w:tcPr>
          <w:p w14:paraId="77F0F578">
            <w:pPr>
              <w:rPr>
                <w:rFonts w:ascii="宋体"/>
                <w:sz w:val="18"/>
              </w:rPr>
            </w:pPr>
          </w:p>
        </w:tc>
      </w:tr>
      <w:tr w14:paraId="1B48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66120D8F">
            <w:pPr>
              <w:rPr>
                <w:rFonts w:ascii="宋体"/>
                <w:sz w:val="18"/>
              </w:rPr>
            </w:pPr>
          </w:p>
        </w:tc>
        <w:tc>
          <w:tcPr>
            <w:tcW w:w="1595" w:type="dxa"/>
            <w:tcBorders>
              <w:tl2br w:val="nil"/>
              <w:tr2bl w:val="nil"/>
            </w:tcBorders>
            <w:noWrap w:val="0"/>
            <w:vAlign w:val="top"/>
          </w:tcPr>
          <w:p w14:paraId="36D0D924">
            <w:pPr>
              <w:rPr>
                <w:rFonts w:ascii="宋体"/>
                <w:sz w:val="18"/>
              </w:rPr>
            </w:pPr>
          </w:p>
        </w:tc>
        <w:tc>
          <w:tcPr>
            <w:tcW w:w="1595" w:type="dxa"/>
            <w:tcBorders>
              <w:tl2br w:val="nil"/>
              <w:tr2bl w:val="nil"/>
            </w:tcBorders>
            <w:noWrap w:val="0"/>
            <w:vAlign w:val="top"/>
          </w:tcPr>
          <w:p w14:paraId="0574F514">
            <w:pPr>
              <w:rPr>
                <w:rFonts w:ascii="宋体"/>
                <w:sz w:val="18"/>
              </w:rPr>
            </w:pPr>
          </w:p>
        </w:tc>
        <w:tc>
          <w:tcPr>
            <w:tcW w:w="1595" w:type="dxa"/>
            <w:tcBorders>
              <w:tl2br w:val="nil"/>
              <w:tr2bl w:val="nil"/>
            </w:tcBorders>
            <w:noWrap w:val="0"/>
            <w:vAlign w:val="top"/>
          </w:tcPr>
          <w:p w14:paraId="4D3EBF39">
            <w:pPr>
              <w:rPr>
                <w:rFonts w:ascii="宋体"/>
                <w:sz w:val="18"/>
              </w:rPr>
            </w:pPr>
          </w:p>
        </w:tc>
        <w:tc>
          <w:tcPr>
            <w:tcW w:w="1595" w:type="dxa"/>
            <w:tcBorders>
              <w:tl2br w:val="nil"/>
              <w:tr2bl w:val="nil"/>
            </w:tcBorders>
            <w:noWrap w:val="0"/>
            <w:vAlign w:val="top"/>
          </w:tcPr>
          <w:p w14:paraId="7C179EEA">
            <w:pPr>
              <w:rPr>
                <w:rFonts w:ascii="宋体"/>
                <w:sz w:val="18"/>
              </w:rPr>
            </w:pPr>
          </w:p>
        </w:tc>
        <w:tc>
          <w:tcPr>
            <w:tcW w:w="1595" w:type="dxa"/>
            <w:tcBorders>
              <w:tl2br w:val="nil"/>
              <w:tr2bl w:val="nil"/>
            </w:tcBorders>
            <w:noWrap w:val="0"/>
            <w:vAlign w:val="top"/>
          </w:tcPr>
          <w:p w14:paraId="6544ADA4">
            <w:pPr>
              <w:rPr>
                <w:rFonts w:ascii="宋体"/>
                <w:sz w:val="18"/>
              </w:rPr>
            </w:pPr>
          </w:p>
        </w:tc>
      </w:tr>
      <w:tr w14:paraId="27D6B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7E91CA9E">
            <w:pPr>
              <w:rPr>
                <w:rFonts w:ascii="宋体"/>
                <w:sz w:val="18"/>
              </w:rPr>
            </w:pPr>
          </w:p>
        </w:tc>
        <w:tc>
          <w:tcPr>
            <w:tcW w:w="1595" w:type="dxa"/>
            <w:tcBorders>
              <w:tl2br w:val="nil"/>
              <w:tr2bl w:val="nil"/>
            </w:tcBorders>
            <w:noWrap w:val="0"/>
            <w:vAlign w:val="top"/>
          </w:tcPr>
          <w:p w14:paraId="05603AE0">
            <w:pPr>
              <w:rPr>
                <w:rFonts w:ascii="宋体"/>
                <w:sz w:val="18"/>
              </w:rPr>
            </w:pPr>
          </w:p>
        </w:tc>
        <w:tc>
          <w:tcPr>
            <w:tcW w:w="1595" w:type="dxa"/>
            <w:tcBorders>
              <w:tl2br w:val="nil"/>
              <w:tr2bl w:val="nil"/>
            </w:tcBorders>
            <w:noWrap w:val="0"/>
            <w:vAlign w:val="top"/>
          </w:tcPr>
          <w:p w14:paraId="1C4E951F">
            <w:pPr>
              <w:rPr>
                <w:rFonts w:ascii="宋体"/>
                <w:sz w:val="18"/>
              </w:rPr>
            </w:pPr>
          </w:p>
        </w:tc>
        <w:tc>
          <w:tcPr>
            <w:tcW w:w="1595" w:type="dxa"/>
            <w:tcBorders>
              <w:tl2br w:val="nil"/>
              <w:tr2bl w:val="nil"/>
            </w:tcBorders>
            <w:noWrap w:val="0"/>
            <w:vAlign w:val="top"/>
          </w:tcPr>
          <w:p w14:paraId="3AAAC19D">
            <w:pPr>
              <w:rPr>
                <w:rFonts w:ascii="宋体"/>
                <w:sz w:val="18"/>
              </w:rPr>
            </w:pPr>
          </w:p>
        </w:tc>
        <w:tc>
          <w:tcPr>
            <w:tcW w:w="1595" w:type="dxa"/>
            <w:tcBorders>
              <w:tl2br w:val="nil"/>
              <w:tr2bl w:val="nil"/>
            </w:tcBorders>
            <w:noWrap w:val="0"/>
            <w:vAlign w:val="top"/>
          </w:tcPr>
          <w:p w14:paraId="410716E0">
            <w:pPr>
              <w:rPr>
                <w:rFonts w:ascii="宋体"/>
                <w:sz w:val="18"/>
              </w:rPr>
            </w:pPr>
          </w:p>
        </w:tc>
        <w:tc>
          <w:tcPr>
            <w:tcW w:w="1595" w:type="dxa"/>
            <w:tcBorders>
              <w:tl2br w:val="nil"/>
              <w:tr2bl w:val="nil"/>
            </w:tcBorders>
            <w:noWrap w:val="0"/>
            <w:vAlign w:val="top"/>
          </w:tcPr>
          <w:p w14:paraId="3F3C96FF">
            <w:pPr>
              <w:rPr>
                <w:rFonts w:ascii="宋体"/>
                <w:sz w:val="18"/>
              </w:rPr>
            </w:pPr>
          </w:p>
        </w:tc>
      </w:tr>
      <w:tr w14:paraId="2776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Borders>
              <w:tl2br w:val="nil"/>
              <w:tr2bl w:val="nil"/>
            </w:tcBorders>
            <w:noWrap w:val="0"/>
            <w:vAlign w:val="top"/>
          </w:tcPr>
          <w:p w14:paraId="6101405C">
            <w:pPr>
              <w:rPr>
                <w:rFonts w:ascii="宋体"/>
                <w:sz w:val="18"/>
              </w:rPr>
            </w:pPr>
          </w:p>
        </w:tc>
        <w:tc>
          <w:tcPr>
            <w:tcW w:w="1595" w:type="dxa"/>
            <w:tcBorders>
              <w:tl2br w:val="nil"/>
              <w:tr2bl w:val="nil"/>
            </w:tcBorders>
            <w:noWrap w:val="0"/>
            <w:vAlign w:val="top"/>
          </w:tcPr>
          <w:p w14:paraId="5B3F5E1F">
            <w:pPr>
              <w:rPr>
                <w:rFonts w:ascii="宋体"/>
                <w:sz w:val="18"/>
              </w:rPr>
            </w:pPr>
          </w:p>
        </w:tc>
        <w:tc>
          <w:tcPr>
            <w:tcW w:w="1595" w:type="dxa"/>
            <w:tcBorders>
              <w:tl2br w:val="nil"/>
              <w:tr2bl w:val="nil"/>
            </w:tcBorders>
            <w:noWrap w:val="0"/>
            <w:vAlign w:val="top"/>
          </w:tcPr>
          <w:p w14:paraId="5ECD731C">
            <w:pPr>
              <w:rPr>
                <w:rFonts w:ascii="宋体"/>
                <w:sz w:val="18"/>
              </w:rPr>
            </w:pPr>
          </w:p>
        </w:tc>
        <w:tc>
          <w:tcPr>
            <w:tcW w:w="1595" w:type="dxa"/>
            <w:tcBorders>
              <w:tl2br w:val="nil"/>
              <w:tr2bl w:val="nil"/>
            </w:tcBorders>
            <w:noWrap w:val="0"/>
            <w:vAlign w:val="top"/>
          </w:tcPr>
          <w:p w14:paraId="02B3D22A">
            <w:pPr>
              <w:rPr>
                <w:rFonts w:ascii="宋体"/>
                <w:sz w:val="18"/>
              </w:rPr>
            </w:pPr>
          </w:p>
        </w:tc>
        <w:tc>
          <w:tcPr>
            <w:tcW w:w="1595" w:type="dxa"/>
            <w:tcBorders>
              <w:tl2br w:val="nil"/>
              <w:tr2bl w:val="nil"/>
            </w:tcBorders>
            <w:noWrap w:val="0"/>
            <w:vAlign w:val="top"/>
          </w:tcPr>
          <w:p w14:paraId="6A30A0F9">
            <w:pPr>
              <w:rPr>
                <w:rFonts w:ascii="宋体"/>
                <w:sz w:val="18"/>
              </w:rPr>
            </w:pPr>
          </w:p>
        </w:tc>
        <w:tc>
          <w:tcPr>
            <w:tcW w:w="1595" w:type="dxa"/>
            <w:tcBorders>
              <w:tl2br w:val="nil"/>
              <w:tr2bl w:val="nil"/>
            </w:tcBorders>
            <w:noWrap w:val="0"/>
            <w:vAlign w:val="top"/>
          </w:tcPr>
          <w:p w14:paraId="22665134">
            <w:pPr>
              <w:rPr>
                <w:rFonts w:ascii="宋体"/>
                <w:sz w:val="18"/>
              </w:rPr>
            </w:pPr>
          </w:p>
        </w:tc>
      </w:tr>
    </w:tbl>
    <w:p w14:paraId="2DEDDAE4">
      <w:pPr>
        <w:pStyle w:val="58"/>
        <w:ind w:firstLine="0" w:firstLineChars="0"/>
        <w:jc w:val="center"/>
      </w:pPr>
      <w:r>
        <w:drawing>
          <wp:inline distT="0" distB="0" distL="114300" distR="114300">
            <wp:extent cx="1485900" cy="317500"/>
            <wp:effectExtent l="0" t="0" r="7620" b="254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6"/>
                    <a:stretch>
                      <a:fillRect/>
                    </a:stretch>
                  </pic:blipFill>
                  <pic:spPr>
                    <a:xfrm>
                      <a:off x="0" y="0"/>
                      <a:ext cx="1485900" cy="317500"/>
                    </a:xfrm>
                    <a:prstGeom prst="rect">
                      <a:avLst/>
                    </a:prstGeom>
                    <a:noFill/>
                    <a:ln>
                      <a:noFill/>
                    </a:ln>
                  </pic:spPr>
                </pic:pic>
              </a:graphicData>
            </a:graphic>
          </wp:inline>
        </w:drawing>
      </w:r>
      <w:bookmarkEnd w:id="97"/>
    </w:p>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大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2A17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6460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A3A1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DA1CB">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3F7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E8E8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C6A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557B">
    <w:pPr>
      <w:pStyle w:val="64"/>
    </w:pPr>
    <w:r>
      <w:fldChar w:fldCharType="begin"/>
    </w:r>
    <w:r>
      <w:instrText xml:space="preserve"> STYLEREF  标准文件_文件编号  \* MERGEFORMAT </w:instrText>
    </w:r>
    <w:r>
      <w:fldChar w:fldCharType="separate"/>
    </w:r>
    <w:r>
      <w:t>DB14/T 1591—XXXX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2A65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1591—XXXX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hAnsi="等线" w:eastAsia="黑体"/>
        <w:b w:val="0"/>
        <w:i w:val="0"/>
        <w:sz w:val="21"/>
      </w:rPr>
    </w:lvl>
    <w:lvl w:ilvl="2" w:tentative="0">
      <w:start w:val="1"/>
      <w:numFmt w:val="decimal"/>
      <w:pStyle w:val="201"/>
      <w:suff w:val="nothing"/>
      <w:lvlText w:val="%10.%2.%3 "/>
      <w:lvlJc w:val="left"/>
      <w:pPr>
        <w:ind w:left="0" w:firstLine="0"/>
      </w:pPr>
      <w:rPr>
        <w:rFonts w:hint="eastAsia" w:ascii="黑体" w:hAnsi="等线" w:eastAsia="黑体"/>
        <w:b w:val="0"/>
        <w:i w:val="0"/>
        <w:sz w:val="21"/>
      </w:rPr>
    </w:lvl>
    <w:lvl w:ilvl="3" w:tentative="0">
      <w:start w:val="1"/>
      <w:numFmt w:val="decimal"/>
      <w:pStyle w:val="202"/>
      <w:suff w:val="nothing"/>
      <w:lvlText w:val="%10.%2.%3.%4 "/>
      <w:lvlJc w:val="left"/>
      <w:pPr>
        <w:ind w:left="0" w:firstLine="0"/>
      </w:pPr>
      <w:rPr>
        <w:rFonts w:hint="eastAsia" w:ascii="黑体" w:hAnsi="等线" w:eastAsia="黑体"/>
        <w:b w:val="0"/>
        <w:i w:val="0"/>
        <w:sz w:val="21"/>
      </w:rPr>
    </w:lvl>
    <w:lvl w:ilvl="4" w:tentative="0">
      <w:start w:val="1"/>
      <w:numFmt w:val="decimal"/>
      <w:pStyle w:val="203"/>
      <w:suff w:val="nothing"/>
      <w:lvlText w:val="%10.%2.%3.%4.%5 "/>
      <w:lvlJc w:val="left"/>
      <w:pPr>
        <w:ind w:left="0" w:firstLine="0"/>
      </w:pPr>
      <w:rPr>
        <w:rFonts w:hint="eastAsia" w:ascii="黑体" w:hAnsi="等线" w:eastAsia="黑体"/>
        <w:b w:val="0"/>
        <w:i w:val="0"/>
        <w:sz w:val="21"/>
      </w:rPr>
    </w:lvl>
    <w:lvl w:ilvl="5" w:tentative="0">
      <w:start w:val="1"/>
      <w:numFmt w:val="decimal"/>
      <w:pStyle w:val="20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A8F7113"/>
    <w:multiLevelType w:val="multilevel"/>
    <w:tmpl w:val="2A8F7113"/>
    <w:lvl w:ilvl="0" w:tentative="0">
      <w:start w:val="1"/>
      <w:numFmt w:val="upperLetter"/>
      <w:pStyle w:val="239"/>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0B55DC2"/>
    <w:multiLevelType w:val="multilevel"/>
    <w:tmpl w:val="60B55DC2"/>
    <w:lvl w:ilvl="0" w:tentative="0">
      <w:start w:val="1"/>
      <w:numFmt w:val="upperLetter"/>
      <w:pStyle w:val="240"/>
      <w:lvlText w:val="%1"/>
      <w:lvlJc w:val="left"/>
      <w:pPr>
        <w:tabs>
          <w:tab w:val="left" w:pos="0"/>
        </w:tabs>
        <w:ind w:left="0" w:hanging="425"/>
      </w:pPr>
      <w:rPr>
        <w:rFonts w:hint="eastAsia"/>
      </w:rPr>
    </w:lvl>
    <w:lvl w:ilvl="1" w:tentative="0">
      <w:start w:val="1"/>
      <w:numFmt w:val="decimal"/>
      <w:pStyle w:val="23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pStyle w:val="232"/>
      <w:lvlText w:val="%2)"/>
      <w:lvlJc w:val="left"/>
      <w:pPr>
        <w:tabs>
          <w:tab w:val="left" w:pos="1310"/>
        </w:tabs>
        <w:ind w:left="1310" w:hanging="420"/>
      </w:pPr>
      <w:rPr>
        <w:rFonts w:hint="eastAsia"/>
      </w:rPr>
    </w:lvl>
    <w:lvl w:ilvl="2" w:tentative="0">
      <w:start w:val="1"/>
      <w:numFmt w:val="lowerRoman"/>
      <w:pStyle w:val="234"/>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2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formatting="1" w:enforcement="0"/>
  <w:defaultTabStop w:val="420"/>
  <w:hyphenationZone w:val="36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MThjNDViNWI4MDZkMTU1OTQzNTFhNzE1NWI5ZGYifQ=="/>
  </w:docVars>
  <w:rsids>
    <w:rsidRoot w:val="006C52E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3D00"/>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74A"/>
    <w:rsid w:val="000E44A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6C5"/>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49E2"/>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FDB"/>
    <w:rsid w:val="003B5BF0"/>
    <w:rsid w:val="003B60BF"/>
    <w:rsid w:val="003B6371"/>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3F88"/>
    <w:rsid w:val="004C1FBC"/>
    <w:rsid w:val="004C3F1D"/>
    <w:rsid w:val="004C458D"/>
    <w:rsid w:val="004C7556"/>
    <w:rsid w:val="004C7E8B"/>
    <w:rsid w:val="004C7E9D"/>
    <w:rsid w:val="004C7F67"/>
    <w:rsid w:val="004D076D"/>
    <w:rsid w:val="004D0EF1"/>
    <w:rsid w:val="004D2253"/>
    <w:rsid w:val="004D3DF8"/>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041"/>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346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5C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0528"/>
    <w:rsid w:val="006C1BBA"/>
    <w:rsid w:val="006C2079"/>
    <w:rsid w:val="006C52E6"/>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1F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91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E51"/>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DE3"/>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E6C"/>
    <w:rsid w:val="00B31314"/>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773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3F4EE1"/>
    <w:rsid w:val="0D035B96"/>
    <w:rsid w:val="10F21349"/>
    <w:rsid w:val="145A2E01"/>
    <w:rsid w:val="1A7416D8"/>
    <w:rsid w:val="1FD44B44"/>
    <w:rsid w:val="236169C4"/>
    <w:rsid w:val="24F40C64"/>
    <w:rsid w:val="274C1DF4"/>
    <w:rsid w:val="34A14BAA"/>
    <w:rsid w:val="3D88453A"/>
    <w:rsid w:val="43696F7C"/>
    <w:rsid w:val="56B44615"/>
    <w:rsid w:val="5CE82CD9"/>
    <w:rsid w:val="6263061C"/>
    <w:rsid w:val="65D36E7D"/>
    <w:rsid w:val="6EEB599C"/>
    <w:rsid w:val="71BA3DDA"/>
    <w:rsid w:val="7B123397"/>
    <w:rsid w:val="7BF51F29"/>
    <w:rsid w:val="7CD107F3"/>
    <w:rsid w:val="7D9859FF"/>
    <w:rsid w:val="7DB1026B"/>
    <w:rsid w:val="7EB377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3"/>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正文文本 字符"/>
    <w:link w:val="13"/>
    <w:qFormat/>
    <w:uiPriority w:val="0"/>
    <w:rPr>
      <w:kern w:val="2"/>
      <w:sz w:val="21"/>
      <w:szCs w:val="21"/>
    </w:rPr>
  </w:style>
  <w:style w:type="character" w:customStyle="1" w:styleId="44">
    <w:name w:val="批注框文本 字符"/>
    <w:link w:val="16"/>
    <w:semiHidden/>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页眉 字符"/>
    <w:link w:val="18"/>
    <w:qFormat/>
    <w:uiPriority w:val="99"/>
    <w:rPr>
      <w:kern w:val="2"/>
      <w:sz w:val="18"/>
      <w:szCs w:val="18"/>
    </w:rPr>
  </w:style>
  <w:style w:type="character" w:customStyle="1" w:styleId="47">
    <w:name w:val="脚注文本 字符"/>
    <w:link w:val="21"/>
    <w:semiHidden/>
    <w:qFormat/>
    <w:uiPriority w:val="0"/>
    <w:rPr>
      <w:rFonts w:ascii="宋体"/>
      <w:kern w:val="2"/>
      <w:sz w:val="18"/>
      <w:szCs w:val="18"/>
    </w:rPr>
  </w:style>
  <w:style w:type="character" w:customStyle="1" w:styleId="48">
    <w:name w:val="标题 字符"/>
    <w:link w:val="25"/>
    <w:qFormat/>
    <w:uiPriority w:val="0"/>
    <w:rPr>
      <w:rFonts w:ascii="Arial" w:hAnsi="Arial" w:cs="Arial"/>
      <w:b/>
      <w:bCs/>
      <w:kern w:val="2"/>
      <w:sz w:val="32"/>
      <w:szCs w:val="32"/>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5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9">
    <w:name w:val="标准文件_段 Char"/>
    <w:link w:val="58"/>
    <w:qFormat/>
    <w:uiPriority w:val="0"/>
    <w:rPr>
      <w:rFonts w:ascii="宋体" w:hAnsi="Times New Roman"/>
      <w:sz w:val="21"/>
    </w:rPr>
  </w:style>
  <w:style w:type="paragraph" w:customStyle="1" w:styleId="60">
    <w:name w:val="标准文件_版本"/>
    <w:basedOn w:val="57"/>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8"/>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8"/>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8"/>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8"/>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8"/>
    <w:qFormat/>
    <w:uiPriority w:val="0"/>
    <w:pPr>
      <w:outlineLvl w:val="4"/>
    </w:pPr>
  </w:style>
  <w:style w:type="paragraph" w:customStyle="1" w:styleId="131">
    <w:name w:val="附录四级无标题条"/>
    <w:basedOn w:val="130"/>
    <w:next w:val="58"/>
    <w:qFormat/>
    <w:uiPriority w:val="0"/>
    <w:pPr>
      <w:outlineLvl w:val="5"/>
    </w:pPr>
  </w:style>
  <w:style w:type="paragraph" w:customStyle="1" w:styleId="132">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8"/>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9"/>
    <w:next w:val="58"/>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8"/>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8"/>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6"/>
    <w:qFormat/>
    <w:uiPriority w:val="0"/>
    <w:pPr>
      <w:spacing w:before="0" w:beforeLines="0" w:after="0" w:afterLines="0"/>
      <w:outlineLvl w:val="9"/>
    </w:pPr>
    <w:rPr>
      <w:rFonts w:ascii="宋体" w:eastAsia="宋体"/>
    </w:rPr>
  </w:style>
  <w:style w:type="paragraph" w:customStyle="1" w:styleId="166">
    <w:name w:val="标准文件_二级无标题"/>
    <w:basedOn w:val="68"/>
    <w:qFormat/>
    <w:uiPriority w:val="0"/>
    <w:pPr>
      <w:spacing w:before="0" w:beforeLines="0" w:after="0" w:afterLines="0"/>
      <w:outlineLvl w:val="9"/>
    </w:pPr>
    <w:rPr>
      <w:rFonts w:ascii="宋体" w:eastAsia="宋体"/>
    </w:rPr>
  </w:style>
  <w:style w:type="paragraph" w:customStyle="1" w:styleId="167">
    <w:name w:val="标准_四级无标题"/>
    <w:basedOn w:val="100"/>
    <w:next w:val="58"/>
    <w:qFormat/>
    <w:uiPriority w:val="0"/>
    <w:rPr>
      <w:rFonts w:eastAsia="宋体"/>
    </w:rPr>
  </w:style>
  <w:style w:type="paragraph" w:customStyle="1" w:styleId="168">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8"/>
    <w:qFormat/>
    <w:uiPriority w:val="0"/>
    <w:pPr>
      <w:numPr>
        <w:ilvl w:val="0"/>
        <w:numId w:val="24"/>
      </w:numPr>
      <w:ind w:firstLine="0" w:firstLineChars="0"/>
    </w:pPr>
    <w:rPr>
      <w:rFonts w:cs="Arial"/>
      <w:szCs w:val="28"/>
    </w:rPr>
  </w:style>
  <w:style w:type="paragraph" w:customStyle="1" w:styleId="171">
    <w:name w:val="标准文件_附录标题"/>
    <w:basedOn w:val="79"/>
    <w:qFormat/>
    <w:uiPriority w:val="0"/>
    <w:pPr>
      <w:numPr>
        <w:ilvl w:val="0"/>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300" w:lineRule="exact"/>
    </w:pPr>
    <w:rPr>
      <w:rFonts w:ascii="Times New Roman" w:hAnsi="Times New Roman"/>
    </w:rPr>
  </w:style>
  <w:style w:type="paragraph" w:customStyle="1" w:styleId="174">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8"/>
    <w:qFormat/>
    <w:uiPriority w:val="0"/>
    <w:pPr>
      <w:ind w:firstLine="0" w:firstLineChars="0"/>
      <w:jc w:val="center"/>
    </w:pPr>
    <w:rPr>
      <w:sz w:val="18"/>
    </w:rPr>
  </w:style>
  <w:style w:type="paragraph" w:customStyle="1" w:styleId="180">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8"/>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5">
    <w:name w:val="标准文件_表格续"/>
    <w:basedOn w:val="58"/>
    <w:next w:val="58"/>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8"/>
    <w:qFormat/>
    <w:uiPriority w:val="0"/>
    <w:pPr>
      <w:numPr>
        <w:ilvl w:val="1"/>
        <w:numId w:val="21"/>
      </w:numPr>
      <w:ind w:firstLine="0" w:firstLineChars="0"/>
    </w:pPr>
  </w:style>
  <w:style w:type="paragraph" w:customStyle="1" w:styleId="188">
    <w:name w:val="标准文件_三级项2"/>
    <w:basedOn w:val="58"/>
    <w:qFormat/>
    <w:uiPriority w:val="0"/>
    <w:pPr>
      <w:numPr>
        <w:ilvl w:val="0"/>
        <w:numId w:val="30"/>
      </w:numPr>
      <w:spacing w:line="300" w:lineRule="exact"/>
      <w:ind w:firstLineChars="0"/>
    </w:pPr>
    <w:rPr>
      <w:rFonts w:ascii="Times New Roman"/>
    </w:rPr>
  </w:style>
  <w:style w:type="paragraph" w:customStyle="1" w:styleId="189">
    <w:name w:val="标准文件_一级项2"/>
    <w:basedOn w:val="58"/>
    <w:qFormat/>
    <w:uiPriority w:val="0"/>
    <w:pPr>
      <w:numPr>
        <w:ilvl w:val="0"/>
        <w:numId w:val="31"/>
      </w:numPr>
      <w:spacing w:line="300" w:lineRule="exact"/>
      <w:ind w:firstLineChars="0"/>
    </w:pPr>
    <w:rPr>
      <w:rFonts w:ascii="Times New Roman"/>
    </w:rPr>
  </w:style>
  <w:style w:type="paragraph" w:customStyle="1" w:styleId="190">
    <w:name w:val="标准文件_提示"/>
    <w:basedOn w:val="58"/>
    <w:next w:val="58"/>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1"/>
    <w:qFormat/>
    <w:uiPriority w:val="0"/>
    <w:pPr>
      <w:framePr w:w="3997" w:h="471" w:hRule="exact" w:hSpace="0" w:vSpace="181" w:wrap="around" w:vAnchor="page" w:hAnchor="page" w:x="1419" w:y="14097"/>
    </w:pPr>
  </w:style>
  <w:style w:type="paragraph" w:customStyle="1" w:styleId="194">
    <w:name w:val="其他实施日期"/>
    <w:basedOn w:val="155"/>
    <w:qFormat/>
    <w:uiPriority w:val="0"/>
    <w:pPr>
      <w:framePr w:w="3997" w:h="471" w:hRule="exact" w:vSpace="181" w:wrap="around" w:vAnchor="page" w:hAnchor="page" w:x="7089" w:y="14097"/>
    </w:pPr>
  </w:style>
  <w:style w:type="paragraph" w:customStyle="1" w:styleId="195">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8"/>
    <w:qFormat/>
    <w:uiPriority w:val="0"/>
    <w:pPr>
      <w:ind w:left="811" w:firstLine="0" w:firstLineChars="0"/>
    </w:pPr>
    <w:rPr>
      <w:sz w:val="18"/>
    </w:rPr>
  </w:style>
  <w:style w:type="paragraph" w:customStyle="1" w:styleId="206">
    <w:name w:val="标准文件_注X后"/>
    <w:basedOn w:val="58"/>
    <w:qFormat/>
    <w:uiPriority w:val="0"/>
    <w:pPr>
      <w:ind w:left="811" w:firstLine="0" w:firstLineChars="0"/>
    </w:pPr>
    <w:rPr>
      <w:sz w:val="18"/>
    </w:rPr>
  </w:style>
  <w:style w:type="paragraph" w:customStyle="1" w:styleId="207">
    <w:name w:val="标准文件_示例后"/>
    <w:basedOn w:val="58"/>
    <w:qFormat/>
    <w:uiPriority w:val="0"/>
    <w:pPr>
      <w:ind w:left="964" w:firstLine="0" w:firstLineChars="0"/>
    </w:pPr>
    <w:rPr>
      <w:sz w:val="18"/>
    </w:rPr>
  </w:style>
  <w:style w:type="paragraph" w:customStyle="1" w:styleId="208">
    <w:name w:val="标准文件_示例X后"/>
    <w:basedOn w:val="58"/>
    <w:link w:val="209"/>
    <w:qFormat/>
    <w:uiPriority w:val="0"/>
    <w:pPr>
      <w:ind w:left="1049" w:firstLine="0" w:firstLineChars="0"/>
    </w:pPr>
    <w:rPr>
      <w:sz w:val="18"/>
    </w:rPr>
  </w:style>
  <w:style w:type="character" w:customStyle="1" w:styleId="209">
    <w:name w:val="标准文件_示例X后 字符"/>
    <w:basedOn w:val="59"/>
    <w:link w:val="208"/>
    <w:qFormat/>
    <w:uiPriority w:val="0"/>
    <w:rPr>
      <w:rFonts w:ascii="宋体" w:hAnsi="Times New Roman"/>
      <w:sz w:val="18"/>
    </w:rPr>
  </w:style>
  <w:style w:type="paragraph" w:customStyle="1" w:styleId="210">
    <w:name w:val="标准文件_索引项"/>
    <w:basedOn w:val="58"/>
    <w:next w:val="58"/>
    <w:qFormat/>
    <w:uiPriority w:val="0"/>
    <w:pPr>
      <w:tabs>
        <w:tab w:val="right" w:leader="dot" w:pos="9356"/>
      </w:tabs>
      <w:ind w:left="210" w:hanging="210" w:firstLineChars="0"/>
      <w:jc w:val="left"/>
    </w:pPr>
  </w:style>
  <w:style w:type="paragraph" w:customStyle="1" w:styleId="211">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8"/>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8"/>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索引标题"/>
    <w:basedOn w:val="66"/>
    <w:next w:val="58"/>
    <w:qFormat/>
    <w:uiPriority w:val="0"/>
    <w:rPr>
      <w:rFonts w:hAnsi="黑体"/>
    </w:rPr>
  </w:style>
  <w:style w:type="paragraph" w:customStyle="1" w:styleId="222">
    <w:name w:val="标准文件_脚注内容"/>
    <w:basedOn w:val="58"/>
    <w:qFormat/>
    <w:uiPriority w:val="0"/>
    <w:pPr>
      <w:ind w:left="400" w:leftChars="200" w:hanging="200" w:hangingChars="200"/>
    </w:pPr>
    <w:rPr>
      <w:sz w:val="15"/>
    </w:rPr>
  </w:style>
  <w:style w:type="paragraph" w:customStyle="1" w:styleId="223">
    <w:name w:val="标准文件_术语条一"/>
    <w:basedOn w:val="163"/>
    <w:next w:val="58"/>
    <w:qFormat/>
    <w:uiPriority w:val="0"/>
  </w:style>
  <w:style w:type="paragraph" w:customStyle="1" w:styleId="224">
    <w:name w:val="标准文件_术语条二"/>
    <w:basedOn w:val="166"/>
    <w:next w:val="58"/>
    <w:qFormat/>
    <w:uiPriority w:val="0"/>
  </w:style>
  <w:style w:type="paragraph" w:customStyle="1" w:styleId="225">
    <w:name w:val="标准文件_术语条三"/>
    <w:basedOn w:val="165"/>
    <w:next w:val="58"/>
    <w:qFormat/>
    <w:uiPriority w:val="0"/>
  </w:style>
  <w:style w:type="paragraph" w:customStyle="1" w:styleId="226">
    <w:name w:val="标准文件_术语条四"/>
    <w:basedOn w:val="168"/>
    <w:next w:val="58"/>
    <w:qFormat/>
    <w:uiPriority w:val="0"/>
  </w:style>
  <w:style w:type="paragraph" w:customStyle="1" w:styleId="227">
    <w:name w:val="标准文件_术语条五"/>
    <w:basedOn w:val="164"/>
    <w:next w:val="58"/>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uiPriority w:val="0"/>
    <w:rPr>
      <w:rFonts w:ascii="宋体" w:hAnsi="Times New Roman"/>
      <w:sz w:val="21"/>
    </w:rPr>
  </w:style>
  <w:style w:type="paragraph" w:customStyle="1" w:styleId="232">
    <w:name w:val="一级条标题"/>
    <w:next w:val="230"/>
    <w:qFormat/>
    <w:uiPriority w:val="0"/>
    <w:pPr>
      <w:numPr>
        <w:ilvl w:val="1"/>
        <w:numId w:val="2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章标题"/>
    <w:next w:val="230"/>
    <w:qFormat/>
    <w:uiPriority w:val="0"/>
    <w:pPr>
      <w:tabs>
        <w:tab w:val="left" w:pos="851"/>
      </w:tabs>
      <w:spacing w:before="312" w:beforeLines="100" w:after="312" w:afterLines="100"/>
      <w:ind w:left="851" w:hanging="426"/>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qFormat/>
    <w:uiPriority w:val="0"/>
    <w:pPr>
      <w:numPr>
        <w:ilvl w:val="2"/>
      </w:numPr>
      <w:spacing w:before="50" w:after="50"/>
      <w:outlineLvl w:val="3"/>
    </w:pPr>
  </w:style>
  <w:style w:type="paragraph" w:customStyle="1" w:styleId="23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7">
    <w:name w:val="附录标识"/>
    <w:basedOn w:val="1"/>
    <w:next w:val="230"/>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8">
    <w:name w:val="附录表标题"/>
    <w:basedOn w:val="1"/>
    <w:next w:val="230"/>
    <w:qFormat/>
    <w:uiPriority w:val="0"/>
    <w:pPr>
      <w:numPr>
        <w:ilvl w:val="1"/>
        <w:numId w:val="32"/>
      </w:numPr>
      <w:tabs>
        <w:tab w:val="left" w:pos="180"/>
      </w:tabs>
      <w:spacing w:before="50" w:beforeLines="50" w:after="50" w:afterLines="50"/>
      <w:ind w:left="0" w:firstLine="0"/>
      <w:jc w:val="center"/>
    </w:pPr>
    <w:rPr>
      <w:rFonts w:ascii="黑体" w:eastAsia="黑体"/>
      <w:szCs w:val="21"/>
    </w:rPr>
  </w:style>
  <w:style w:type="paragraph" w:customStyle="1" w:styleId="239">
    <w:name w:val="附录图标号"/>
    <w:basedOn w:val="1"/>
    <w:qFormat/>
    <w:uiPriority w:val="0"/>
    <w:pPr>
      <w:keepNext/>
      <w:pageBreakBefore/>
      <w:widowControl/>
      <w:numPr>
        <w:ilvl w:val="0"/>
        <w:numId w:val="33"/>
      </w:numPr>
      <w:spacing w:line="14" w:lineRule="exact"/>
      <w:ind w:left="0" w:firstLine="363"/>
      <w:jc w:val="center"/>
      <w:outlineLvl w:val="0"/>
    </w:pPr>
    <w:rPr>
      <w:color w:val="FFFFFF"/>
    </w:rPr>
  </w:style>
  <w:style w:type="paragraph" w:customStyle="1" w:styleId="240">
    <w:name w:val="附录表标号"/>
    <w:basedOn w:val="1"/>
    <w:next w:val="230"/>
    <w:qFormat/>
    <w:uiPriority w:val="0"/>
    <w:pPr>
      <w:numPr>
        <w:ilvl w:val="0"/>
        <w:numId w:val="32"/>
      </w:numPr>
      <w:tabs>
        <w:tab w:val="clear" w:pos="0"/>
      </w:tabs>
      <w:spacing w:line="14" w:lineRule="exact"/>
      <w:ind w:left="811" w:hanging="448"/>
      <w:jc w:val="center"/>
      <w:outlineLvl w:val="0"/>
    </w:pPr>
    <w:rPr>
      <w:color w:val="FFFFFF"/>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2564</Words>
  <Characters>2966</Characters>
  <Lines>35</Lines>
  <Paragraphs>10</Paragraphs>
  <TotalTime>6</TotalTime>
  <ScaleCrop>false</ScaleCrop>
  <LinksUpToDate>false</LinksUpToDate>
  <CharactersWithSpaces>3130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2023-03-14T00:39:00Z</dcterms:created>
  <dc:creator>杨俊强</dc:creator>
  <dc:description>&lt;config cover="true" show_menu="true" version="1.0.0" doctype="SDKXY"&gt;_x000d_
&lt;/config&gt;</dc:description>
  <cp:lastModifiedBy>LW</cp:lastModifiedBy>
  <cp:lastPrinted>2020-08-30T10:00:00Z</cp:lastPrinted>
  <dcterms:modified xsi:type="dcterms:W3CDTF">2024-08-02T08:23:51Z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F98F8D7ACA7E496A9E61DE8610E3D56A_13</vt:lpwstr>
  </property>
</Properties>
</file>